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3CC" w:rsidRDefault="00A5762F">
      <w:pPr>
        <w:pStyle w:val="Titel"/>
        <w:keepNext w:val="0"/>
        <w:keepLines w:val="0"/>
        <w:tabs>
          <w:tab w:val="left" w:pos="850"/>
        </w:tabs>
        <w:spacing w:before="840" w:after="600" w:line="240" w:lineRule="auto"/>
        <w:rPr>
          <w:b/>
          <w:bCs/>
          <w:color w:val="002355"/>
          <w:sz w:val="60"/>
          <w:szCs w:val="60"/>
        </w:rPr>
      </w:pPr>
      <w:bookmarkStart w:id="0" w:name="_gjdgxs" w:colFirst="0" w:colLast="0"/>
      <w:bookmarkEnd w:id="0"/>
      <w:r>
        <w:rPr>
          <w:b/>
          <w:bCs/>
          <w:color w:val="002355"/>
          <w:sz w:val="60"/>
          <w:szCs w:val="60"/>
        </w:rPr>
        <w:t xml:space="preserve">Presseinformation </w:t>
      </w:r>
    </w:p>
    <w:p w:rsidR="009D33CC" w:rsidRDefault="00A5762F">
      <w:pPr>
        <w:pStyle w:val="berschrift1"/>
        <w:spacing w:before="240"/>
      </w:pPr>
      <w:bookmarkStart w:id="1" w:name="_8dc17rpedp3q" w:colFirst="0" w:colLast="0"/>
      <w:bookmarkEnd w:id="1"/>
      <w:r>
        <w:t>Punktlandung 2025 und starker Auftakt 2026: Koenig &amp; Bauer erreicht Jahresziele, steigert Auftragseingang im ersten Quartal und startet mit „IMPACT“ in neue Ära</w:t>
      </w:r>
    </w:p>
    <w:p w:rsidR="009D33CC" w:rsidRDefault="009D33CC">
      <w:pPr>
        <w:spacing w:after="0"/>
      </w:pPr>
    </w:p>
    <w:p w:rsidR="009D33CC" w:rsidRDefault="00A5762F">
      <w:pPr>
        <w:numPr>
          <w:ilvl w:val="0"/>
          <w:numId w:val="1"/>
        </w:numPr>
        <w:pBdr>
          <w:top w:val="nil"/>
          <w:left w:val="nil"/>
          <w:bottom w:val="nil"/>
          <w:right w:val="nil"/>
          <w:between w:val="nil"/>
        </w:pBdr>
        <w:spacing w:after="0"/>
        <w:rPr>
          <w:rFonts w:ascii="Times New Roman" w:eastAsia="Times New Roman" w:hAnsi="Times New Roman" w:cs="Times New Roman"/>
        </w:rPr>
      </w:pPr>
      <w:r>
        <w:t xml:space="preserve">Umsatz wächst planmäßig auf rund 1,3 Mrd. € bei deutlich verbessertem </w:t>
      </w:r>
      <w:r>
        <w:t xml:space="preserve">operativen EBIT von </w:t>
      </w:r>
      <w:r>
        <w:br/>
        <w:t>36,6 Mio. € (Vj.: 15,3 Mio. €) – Operative EBIT-Marge steigt auf 2,8 %</w:t>
      </w:r>
    </w:p>
    <w:p w:rsidR="009D33CC" w:rsidRDefault="00A5762F">
      <w:pPr>
        <w:numPr>
          <w:ilvl w:val="0"/>
          <w:numId w:val="1"/>
        </w:numPr>
        <w:pBdr>
          <w:top w:val="nil"/>
          <w:left w:val="nil"/>
          <w:bottom w:val="nil"/>
          <w:right w:val="nil"/>
          <w:between w:val="nil"/>
        </w:pBdr>
        <w:spacing w:after="0"/>
        <w:rPr>
          <w:rFonts w:ascii="Times New Roman" w:eastAsia="Times New Roman" w:hAnsi="Times New Roman" w:cs="Times New Roman"/>
        </w:rPr>
      </w:pPr>
      <w:r>
        <w:t>Free Cashflow im Gesamtjahr mit 7,2 Mio. € positiv – starke Mittelzuflüsse im Schlussquartal</w:t>
      </w:r>
    </w:p>
    <w:p w:rsidR="009D33CC" w:rsidRDefault="00A5762F">
      <w:pPr>
        <w:numPr>
          <w:ilvl w:val="0"/>
          <w:numId w:val="1"/>
        </w:numPr>
        <w:pBdr>
          <w:top w:val="nil"/>
          <w:left w:val="nil"/>
          <w:bottom w:val="nil"/>
          <w:right w:val="nil"/>
          <w:between w:val="nil"/>
        </w:pBdr>
        <w:spacing w:after="0"/>
        <w:rPr>
          <w:rFonts w:ascii="Times New Roman" w:eastAsia="Times New Roman" w:hAnsi="Times New Roman" w:cs="Times New Roman"/>
        </w:rPr>
      </w:pPr>
      <w:r>
        <w:t>Erfolgreiche Segmententwicklung: Deutliche Profitabilitätssteigerung be</w:t>
      </w:r>
      <w:r>
        <w:t>i Paper &amp; Packaging (P&amp;P) sowie operativer Turnaround bei Special &amp; New Technologies (S&amp;T)</w:t>
      </w:r>
    </w:p>
    <w:p w:rsidR="009D33CC" w:rsidRDefault="00A5762F">
      <w:pPr>
        <w:numPr>
          <w:ilvl w:val="0"/>
          <w:numId w:val="1"/>
        </w:numPr>
        <w:pBdr>
          <w:top w:val="nil"/>
          <w:left w:val="nil"/>
          <w:bottom w:val="nil"/>
          <w:right w:val="nil"/>
          <w:between w:val="nil"/>
        </w:pBdr>
        <w:spacing w:after="0"/>
        <w:rPr>
          <w:rFonts w:ascii="Times New Roman" w:eastAsia="Times New Roman" w:hAnsi="Times New Roman" w:cs="Times New Roman"/>
        </w:rPr>
      </w:pPr>
      <w:r>
        <w:t>Strategischer Leitfaden „IMPACT“ richtet Konzern auf das kommende Jahrzehnt aus: Mittelfristiges Umsatzpotenzial von 1,5 Mrd. € bei operativer EBITDA-Marge von minde</w:t>
      </w:r>
      <w:r>
        <w:t>stens 8 %</w:t>
      </w:r>
    </w:p>
    <w:p w:rsidR="009D33CC" w:rsidRDefault="00A5762F">
      <w:pPr>
        <w:numPr>
          <w:ilvl w:val="0"/>
          <w:numId w:val="1"/>
        </w:numPr>
        <w:pBdr>
          <w:top w:val="nil"/>
          <w:left w:val="nil"/>
          <w:bottom w:val="nil"/>
          <w:right w:val="nil"/>
          <w:between w:val="nil"/>
        </w:pBdr>
        <w:spacing w:after="0"/>
        <w:rPr>
          <w:rFonts w:ascii="Times New Roman" w:eastAsia="Times New Roman" w:hAnsi="Times New Roman" w:cs="Times New Roman"/>
        </w:rPr>
      </w:pPr>
      <w:r>
        <w:t>Starker Jahresauftakt unterstreicht Resilienz: Solider Auftragsbestand und ein höherer Auftragseingang im ersten Quartal 2026 verglichen zum Vorjahr sichern Zielerreichung ab</w:t>
      </w:r>
    </w:p>
    <w:p w:rsidR="009D33CC" w:rsidRDefault="00A5762F">
      <w:pPr>
        <w:numPr>
          <w:ilvl w:val="0"/>
          <w:numId w:val="1"/>
        </w:numPr>
        <w:pBdr>
          <w:top w:val="nil"/>
          <w:left w:val="nil"/>
          <w:bottom w:val="nil"/>
          <w:right w:val="nil"/>
          <w:between w:val="nil"/>
        </w:pBdr>
        <w:spacing w:after="0"/>
        <w:rPr>
          <w:rFonts w:ascii="Times New Roman" w:eastAsia="Times New Roman" w:hAnsi="Times New Roman" w:cs="Times New Roman"/>
        </w:rPr>
      </w:pPr>
      <w:r>
        <w:t>Ausblick 2026: Stabiler Geschäftsverlauf mit Konzernumsatz auf Vorjahre</w:t>
      </w:r>
      <w:r>
        <w:t>sniveau erwartet – Guidance künftig auf operatives EBITDA von circa 80 Mio. € ausgerichtet</w:t>
      </w:r>
    </w:p>
    <w:p w:rsidR="009D33CC" w:rsidRDefault="009D33CC">
      <w:pPr>
        <w:pStyle w:val="berschrift3"/>
        <w:rPr>
          <w:sz w:val="40"/>
          <w:szCs w:val="40"/>
        </w:rPr>
      </w:pPr>
      <w:bookmarkStart w:id="2" w:name="_3znysh7" w:colFirst="0" w:colLast="0"/>
      <w:bookmarkEnd w:id="2"/>
    </w:p>
    <w:p w:rsidR="009D33CC" w:rsidRDefault="00A5762F">
      <w:pPr>
        <w:pBdr>
          <w:top w:val="nil"/>
          <w:left w:val="nil"/>
          <w:bottom w:val="nil"/>
          <w:right w:val="nil"/>
          <w:between w:val="nil"/>
        </w:pBdr>
        <w:spacing w:before="240"/>
        <w:rPr>
          <w:color w:val="0A0F0A"/>
          <w:highlight w:val="white"/>
        </w:rPr>
      </w:pPr>
      <w:r>
        <w:rPr>
          <w:color w:val="0A0F0A"/>
          <w:highlight w:val="white"/>
        </w:rPr>
        <w:t>Würzburg, 26.03.2026</w:t>
      </w:r>
      <w:r>
        <w:rPr>
          <w:color w:val="0A0F0A"/>
          <w:highlight w:val="white"/>
        </w:rPr>
        <w:br/>
        <w:t>Die Koenig &amp; Bauer AG hat im Geschäftsjahr 2025 trotz handelspolitischer Unsicherheiten, geopolitischer Krisen und eines insgesamt volatilen Ma</w:t>
      </w:r>
      <w:r>
        <w:rPr>
          <w:color w:val="0A0F0A"/>
          <w:highlight w:val="white"/>
        </w:rPr>
        <w:t>rktumfelds Umsatz und operative Ertragskraft gesteigert und die gesetzten Jahresziele erreicht. Das Berichtsjahr war geprägt von der konsequenten Umsetzung der Konzernfokussierung sowie der strategischen Neuausrichtung durch den Ende Dezember verabschiedet</w:t>
      </w:r>
      <w:r>
        <w:rPr>
          <w:color w:val="0A0F0A"/>
          <w:highlight w:val="white"/>
        </w:rPr>
        <w:t>en strategischen Leitfaden „IMPACT“.</w:t>
      </w:r>
    </w:p>
    <w:p w:rsidR="009D33CC" w:rsidRDefault="00A5762F">
      <w:pPr>
        <w:pBdr>
          <w:top w:val="nil"/>
          <w:left w:val="nil"/>
          <w:bottom w:val="nil"/>
          <w:right w:val="nil"/>
          <w:between w:val="nil"/>
        </w:pBdr>
        <w:spacing w:before="240"/>
        <w:rPr>
          <w:color w:val="0A0F0A"/>
          <w:highlight w:val="white"/>
        </w:rPr>
      </w:pPr>
      <w:r>
        <w:rPr>
          <w:color w:val="0A0F0A"/>
          <w:highlight w:val="white"/>
        </w:rPr>
        <w:t>„Wir erleben derzeit eine globale industrielle und politische Zeitenwende. Die jüngsten Entwicklungen im Nahen Osten seit Ende Februar sind eine deutliche Erinnerung daran, dass Volatilität längst zum ‚New Normal‘ gewor</w:t>
      </w:r>
      <w:r>
        <w:rPr>
          <w:color w:val="0A0F0A"/>
          <w:highlight w:val="white"/>
        </w:rPr>
        <w:t>den ist“, erklärt der Vorstandsvorsitzende Dr. Stephen Kimmich. „Stabilität ist kein statischer Zustand mehr, auf den man sich verlassen</w:t>
      </w:r>
      <w:r>
        <w:rPr>
          <w:color w:val="0A0F0A"/>
        </w:rPr>
        <w:t xml:space="preserve"> </w:t>
      </w:r>
      <w:r>
        <w:rPr>
          <w:color w:val="0A0F0A"/>
          <w:highlight w:val="white"/>
        </w:rPr>
        <w:t>kann. Vielmehr ist eine hohe organisatorische Reaktionsfähigkeit unerlässlich. Wir beweisen in dieser Phase, wie stabil</w:t>
      </w:r>
      <w:r>
        <w:rPr>
          <w:color w:val="0A0F0A"/>
          <w:highlight w:val="white"/>
        </w:rPr>
        <w:t xml:space="preserve"> Koenig &amp; Bauer aufgestellt ist: Wir begegnen der Situation mit einem soliden Auftragsbestand von 970,6 Mio. € und der Erfahrung, Prozesse flexibel an die jeweilige Lage anzupassen. ‚IMPACT‘ als neuer strategischer Leitfaden definiert dabei unsere gemeinsa</w:t>
      </w:r>
      <w:r>
        <w:rPr>
          <w:color w:val="0A0F0A"/>
          <w:highlight w:val="white"/>
        </w:rPr>
        <w:t>me Stoßrichtung, um die Zukunft der Druckindustrie aktiv zu prägen und die operative Resilienz für das nächste Jahrzehnt zu sichern.“</w:t>
      </w:r>
    </w:p>
    <w:p w:rsidR="009D33CC" w:rsidRDefault="00A5762F">
      <w:pPr>
        <w:spacing w:before="240"/>
        <w:rPr>
          <w:sz w:val="22"/>
          <w:szCs w:val="22"/>
        </w:rPr>
      </w:pPr>
      <w:r>
        <w:rPr>
          <w:b/>
          <w:bCs/>
          <w:color w:val="002355"/>
        </w:rPr>
        <w:lastRenderedPageBreak/>
        <w:t>Geschäftsjahr 2025: Punktlandung und positive Cashflow-Entwicklung</w:t>
      </w:r>
      <w:r>
        <w:rPr>
          <w:sz w:val="22"/>
          <w:szCs w:val="22"/>
        </w:rPr>
        <w:t xml:space="preserve"> </w:t>
      </w:r>
      <w:r>
        <w:rPr>
          <w:sz w:val="22"/>
          <w:szCs w:val="22"/>
        </w:rPr>
        <w:br/>
      </w:r>
      <w:r>
        <w:rPr>
          <w:color w:val="0A0F0A"/>
          <w:highlight w:val="white"/>
        </w:rPr>
        <w:t>Die vorläufigen Geschäftszahlen wurden bestätigt: Koen</w:t>
      </w:r>
      <w:r>
        <w:rPr>
          <w:color w:val="0A0F0A"/>
          <w:highlight w:val="white"/>
        </w:rPr>
        <w:t>ig &amp; Bauer erzielte einen Konzernumsatz von 1.302,4 Mio. € (Vj. 1.274,4 Mio. €). Die operative Ertragskraft verbesserte sich spürbar: Das operative EBIT stieg auf 36,6 Mio. € (Vj. 15,3 Mio. €), womit sich die operative EBIT-Marge auf 2,8 % erhöhte. Maßgebl</w:t>
      </w:r>
      <w:r>
        <w:rPr>
          <w:color w:val="0A0F0A"/>
          <w:highlight w:val="white"/>
        </w:rPr>
        <w:t xml:space="preserve">ich hierfür war auch der deutliche Rückgang der Sonderaufwendungen auf 5,3 Mio. € durch den weitgehenden Abschluss des Fokusprogramms „Spotlight“. Ein strategischer Schwerpunkt war die Verbesserung der Cash-Generierung: Im Schlussquartal erzielte Koenig &amp; </w:t>
      </w:r>
      <w:r>
        <w:rPr>
          <w:color w:val="0A0F0A"/>
          <w:highlight w:val="white"/>
        </w:rPr>
        <w:t>Bauer einen starken Mittelzufluss von 69,1 Mio. €, sodass sich für das Gesamtjahr ein positiver Free Cashflow von 7,2 Mio. € ergab. Vor dem Hintergrund des weiterhin herausfordernden Marktumfelds schlagen Vorstand und Aufsichtsrat vor, für das Geschäftsjah</w:t>
      </w:r>
      <w:r>
        <w:rPr>
          <w:color w:val="0A0F0A"/>
          <w:highlight w:val="white"/>
        </w:rPr>
        <w:t>r 2025 keine Dividende auszuschütten.</w:t>
      </w:r>
    </w:p>
    <w:p w:rsidR="009D33CC" w:rsidRDefault="00A5762F">
      <w:pPr>
        <w:spacing w:before="240"/>
        <w:rPr>
          <w:sz w:val="22"/>
          <w:szCs w:val="22"/>
        </w:rPr>
      </w:pPr>
      <w:r>
        <w:rPr>
          <w:b/>
          <w:bCs/>
          <w:color w:val="002355"/>
        </w:rPr>
        <w:t>Resilienz und operativer Turnaround in den Segmenten</w:t>
      </w:r>
      <w:r>
        <w:rPr>
          <w:sz w:val="22"/>
          <w:szCs w:val="22"/>
        </w:rPr>
        <w:t xml:space="preserve"> </w:t>
      </w:r>
      <w:r>
        <w:rPr>
          <w:sz w:val="22"/>
          <w:szCs w:val="22"/>
        </w:rPr>
        <w:br/>
      </w:r>
      <w:r>
        <w:rPr>
          <w:color w:val="0A0F0A"/>
          <w:highlight w:val="white"/>
        </w:rPr>
        <w:t>Beide Segmente trugen im abgelaufenen Geschäftsjahr zum profitablen Wachstum bei. Das Segment Paper &amp; Packaging Sheetfed Systems (P&amp;P) verzeichnete einen leichten U</w:t>
      </w:r>
      <w:r>
        <w:rPr>
          <w:color w:val="0A0F0A"/>
          <w:highlight w:val="white"/>
        </w:rPr>
        <w:t>msatzanstieg auf 741,5 Mio. € (+0,9 %). Die operative Ertragskraft verbesserte sich hierbei deutlich; das operative EBIT stieg auf 25,0 Mio. € (Vj. 17,1 Mio. €). Der Auftragseingang zeigte sich mit 704,0 Mio. € nach dem von der Weltleitmesse drupa geprägte</w:t>
      </w:r>
      <w:r>
        <w:rPr>
          <w:color w:val="0A0F0A"/>
          <w:highlight w:val="white"/>
        </w:rPr>
        <w:t>n, sehr starken Vorjahr äußerst stabil. Im Segment Special &amp; New Technologies (S&amp;T) gelang eine erfolgreiche Weiterentwicklung mit einem operativen Turnaround: Das operative EBIT verbesserte sich signifikant auf 9,0 Mio. € (Vj. -15,4 Mio. €). Der Segmentum</w:t>
      </w:r>
      <w:r>
        <w:rPr>
          <w:color w:val="0A0F0A"/>
          <w:highlight w:val="white"/>
        </w:rPr>
        <w:t>satz wuchs deutlich um 6,8 % auf 596,0 Mio. €, maßgeblich getrieben durch Leistungsfortschritte bei Banknoten-Projekten und ein stabiles Servicegeschäft. Der erwartungsgemäße Rückgang beim Auftragseingang auf 558,4 Mio. € resultiert primär aus den historis</w:t>
      </w:r>
      <w:r>
        <w:rPr>
          <w:color w:val="0A0F0A"/>
          <w:highlight w:val="white"/>
        </w:rPr>
        <w:t>ch außerordentlich hohen Bestellungen der US-Bundesdruckerei im Vorjahr. Spezialmärkte und neue Technologien verzeichneten dabei eine erfreuliche Dynamik, was die breite Aufstellung des Segments bestätigt.</w:t>
      </w:r>
    </w:p>
    <w:p w:rsidR="009D33CC" w:rsidRDefault="00A5762F">
      <w:pPr>
        <w:pBdr>
          <w:top w:val="nil"/>
          <w:left w:val="nil"/>
          <w:bottom w:val="nil"/>
          <w:right w:val="nil"/>
          <w:between w:val="nil"/>
        </w:pBdr>
        <w:spacing w:before="240"/>
        <w:rPr>
          <w:color w:val="0A0F0A"/>
          <w:highlight w:val="white"/>
        </w:rPr>
      </w:pPr>
      <w:r>
        <w:rPr>
          <w:b/>
          <w:bCs/>
          <w:color w:val="002355"/>
        </w:rPr>
        <w:t>Bewegung als Prinzip: Der neue strategische Leitfaden „IMPACT“</w:t>
      </w:r>
      <w:r>
        <w:rPr>
          <w:sz w:val="22"/>
          <w:szCs w:val="22"/>
        </w:rPr>
        <w:t xml:space="preserve"> </w:t>
      </w:r>
      <w:r>
        <w:rPr>
          <w:sz w:val="22"/>
          <w:szCs w:val="22"/>
        </w:rPr>
        <w:br/>
      </w:r>
      <w:r>
        <w:rPr>
          <w:color w:val="0A0F0A"/>
          <w:highlight w:val="white"/>
        </w:rPr>
        <w:t>Der Ende 2025 verabschiedete Leitfaden „IMPACT“ löst die bisherige Strategie ab und zielt auf die Weiterentwicklung vom klassischen Maschinenbauer zum ganzheitlichen Technologieanbieter ab. Vi</w:t>
      </w:r>
      <w:r>
        <w:rPr>
          <w:color w:val="0A0F0A"/>
          <w:highlight w:val="white"/>
        </w:rPr>
        <w:t>suell und inhaltlich verkörpert wird dieser Aufbruch durch eine Kugel. Koenig &amp; Bauer ist kein statisches, sondern ein dynamisches Unternehmen, in dem Bewegung das verbindende Prinzip ist: Sie findet sich im Querschnitt der präzise rotierenden Druckzylinde</w:t>
      </w:r>
      <w:r>
        <w:rPr>
          <w:color w:val="0A0F0A"/>
          <w:highlight w:val="white"/>
        </w:rPr>
        <w:t>r genauso wieder wie in Milliarden fliegenden Tintentropfen im Digitaldruck. Eine Kugel ist niemals statisch. Sie verkörpert das Potenzial zu rollen, Kräfte aufzunehmen und Wirkung weiterzutragen. Echter „IMPACT“ entsteht erst durch Beschleunigung, Kontakt</w:t>
      </w:r>
      <w:r>
        <w:rPr>
          <w:color w:val="0A0F0A"/>
          <w:highlight w:val="white"/>
        </w:rPr>
        <w:t xml:space="preserve"> und Verdichtung. Genau so übersetzt Koenig &amp; Bauer dieses Prinzip in seine Strategie: Jede Entscheidung setzt etwas in Bewegung, jede Bewegung folgt einer klaren Richtung, und jede Richtung erzeugt messbare Wirkung für Kunden und Aktionäre.</w:t>
      </w:r>
    </w:p>
    <w:p w:rsidR="009D33CC" w:rsidRDefault="00A5762F">
      <w:pPr>
        <w:pBdr>
          <w:top w:val="nil"/>
          <w:left w:val="nil"/>
          <w:bottom w:val="nil"/>
          <w:right w:val="nil"/>
          <w:between w:val="nil"/>
        </w:pBdr>
        <w:spacing w:before="240"/>
        <w:rPr>
          <w:sz w:val="22"/>
          <w:szCs w:val="22"/>
        </w:rPr>
      </w:pPr>
      <w:r>
        <w:rPr>
          <w:color w:val="0A0F0A"/>
          <w:highlight w:val="white"/>
        </w:rPr>
        <w:t>Das namensgebe</w:t>
      </w:r>
      <w:r>
        <w:rPr>
          <w:color w:val="0A0F0A"/>
          <w:highlight w:val="white"/>
        </w:rPr>
        <w:t>nde Akronym „IMPACT“ steht dabei für die sechs zentralen Handlungsfelder, die als integrales System konzipiert sind, um die Wettbewerbsfähigkeit nachhaltig zu stärken:</w:t>
      </w:r>
    </w:p>
    <w:p w:rsidR="009D33CC" w:rsidRDefault="00A5762F">
      <w:pPr>
        <w:numPr>
          <w:ilvl w:val="0"/>
          <w:numId w:val="2"/>
        </w:numPr>
        <w:spacing w:before="240" w:after="0"/>
      </w:pPr>
      <w:r>
        <w:rPr>
          <w:b/>
          <w:bCs/>
        </w:rPr>
        <w:t>Intelligence:</w:t>
      </w:r>
      <w:r>
        <w:t xml:space="preserve"> Wir etablieren Künstliche Intelligenz in allen Geschäftsbereichen – vom Ar</w:t>
      </w:r>
      <w:r>
        <w:t>beitsplatz bis zur Maschine bei Software und Automatisierung.</w:t>
      </w:r>
    </w:p>
    <w:p w:rsidR="009D33CC" w:rsidRDefault="00A5762F">
      <w:pPr>
        <w:numPr>
          <w:ilvl w:val="0"/>
          <w:numId w:val="2"/>
        </w:numPr>
        <w:spacing w:after="0"/>
      </w:pPr>
      <w:r>
        <w:rPr>
          <w:b/>
          <w:bCs/>
        </w:rPr>
        <w:t>Go-To-Market:</w:t>
      </w:r>
      <w:r>
        <w:t xml:space="preserve"> Wir fokussieren uns auf die Skalierung unseres bestehenden Portfolios und erschließen gezielt Wachstumsmärkte wie Asien, LATAM, Indien, MEA und China mit angepassten Lösungen.</w:t>
      </w:r>
    </w:p>
    <w:p w:rsidR="009D33CC" w:rsidRDefault="00A5762F">
      <w:pPr>
        <w:numPr>
          <w:ilvl w:val="0"/>
          <w:numId w:val="2"/>
        </w:numPr>
        <w:spacing w:after="0"/>
      </w:pPr>
      <w:r>
        <w:rPr>
          <w:b/>
          <w:bCs/>
        </w:rPr>
        <w:t>Peop</w:t>
      </w:r>
      <w:r>
        <w:rPr>
          <w:b/>
          <w:bCs/>
        </w:rPr>
        <w:t>le:</w:t>
      </w:r>
      <w:r>
        <w:t xml:space="preserve"> Wir investieren in unsere weltweiten Teams, fördern Weiterbildung und stärken unsere lokalen Organisationen als Gesichter zum Kunden.</w:t>
      </w:r>
    </w:p>
    <w:p w:rsidR="009D33CC" w:rsidRDefault="00A5762F">
      <w:pPr>
        <w:numPr>
          <w:ilvl w:val="0"/>
          <w:numId w:val="2"/>
        </w:numPr>
        <w:spacing w:after="0"/>
      </w:pPr>
      <w:r>
        <w:rPr>
          <w:b/>
          <w:bCs/>
        </w:rPr>
        <w:lastRenderedPageBreak/>
        <w:t>Adaptability:</w:t>
      </w:r>
      <w:r>
        <w:t xml:space="preserve"> Wir reduzieren Abhängigkeiten und erhöhen unsere Anpassungsfähigkeit gegenüber volatilen Weltmärkten, u.</w:t>
      </w:r>
      <w:r>
        <w:t>a. durch Ausbau wiederkehrender Umsätze und Flexibilisierung unserer Strukturen.</w:t>
      </w:r>
    </w:p>
    <w:p w:rsidR="009D33CC" w:rsidRDefault="00A5762F">
      <w:pPr>
        <w:numPr>
          <w:ilvl w:val="0"/>
          <w:numId w:val="2"/>
        </w:numPr>
        <w:spacing w:after="0"/>
      </w:pPr>
      <w:r>
        <w:rPr>
          <w:b/>
          <w:bCs/>
        </w:rPr>
        <w:t>Competitiveness:</w:t>
      </w:r>
      <w:r>
        <w:t xml:space="preserve"> Durch schlankere Prozesse und optimierte Herstellkosten sichern wir unsere Wettbewerbsfähigkeit – auch in hart umkämpften Mid-Tech Märkten werden wir gewinnen</w:t>
      </w:r>
      <w:r>
        <w:t>.</w:t>
      </w:r>
    </w:p>
    <w:p w:rsidR="009D33CC" w:rsidRDefault="00A5762F">
      <w:pPr>
        <w:numPr>
          <w:ilvl w:val="0"/>
          <w:numId w:val="2"/>
        </w:numPr>
      </w:pPr>
      <w:r>
        <w:rPr>
          <w:b/>
          <w:bCs/>
        </w:rPr>
        <w:t>Technology:</w:t>
      </w:r>
      <w:r>
        <w:t xml:space="preserve"> Technologieführerschaft bleibt unsere DNA. Wir überzeugen durch Innovation in Workflow- und Software-Lösungen, beim Digitaldruck, bei der Automatisierung und mit der höchsten Produktivität und Zuverlässigkeit.</w:t>
      </w:r>
    </w:p>
    <w:p w:rsidR="009D33CC" w:rsidRDefault="00A5762F">
      <w:pPr>
        <w:spacing w:before="240"/>
        <w:rPr>
          <w:sz w:val="22"/>
          <w:szCs w:val="22"/>
        </w:rPr>
      </w:pPr>
      <w:r>
        <w:rPr>
          <w:color w:val="0A0F0A"/>
          <w:highlight w:val="white"/>
        </w:rPr>
        <w:t>Getragen wird diese Strategie vo</w:t>
      </w:r>
      <w:r>
        <w:rPr>
          <w:color w:val="0A0F0A"/>
          <w:highlight w:val="white"/>
        </w:rPr>
        <w:t>n der Haltung „I ACT“, die diese Stoßrichtungen in konkretes unternehmerisches Handeln übersetzt. Basierend auf diesen Handlungsfeldern setzt sich Koenig &amp; Bauer ein klares strategisches Zielbild bis 2030 und darüber hinaus: Das Unternehmen sieht ein Umsat</w:t>
      </w:r>
      <w:r>
        <w:rPr>
          <w:color w:val="0A0F0A"/>
          <w:highlight w:val="white"/>
        </w:rPr>
        <w:t>zpotenzial von 1,5 Mrd. € bei einer operativer EBITDA-Marge von mindestens 8 % (ohne Sondereffekte). Um dieses Ziel zu unterstützen, wird der Konzern-Footprint weiter optimiert, wozu neben der verschlankten Struktur auf zwei Segmente auch die geplante Stil</w:t>
      </w:r>
      <w:r>
        <w:rPr>
          <w:color w:val="0A0F0A"/>
          <w:highlight w:val="white"/>
        </w:rPr>
        <w:t>llegung des Betriebs der Albert-Frankenthal GmbH gehört.</w:t>
      </w:r>
    </w:p>
    <w:p w:rsidR="009D33CC" w:rsidRDefault="00A5762F">
      <w:pPr>
        <w:pBdr>
          <w:top w:val="nil"/>
          <w:left w:val="nil"/>
          <w:bottom w:val="nil"/>
          <w:right w:val="nil"/>
          <w:between w:val="nil"/>
        </w:pBdr>
        <w:spacing w:before="240"/>
        <w:rPr>
          <w:color w:val="0A0F0A"/>
          <w:highlight w:val="white"/>
        </w:rPr>
      </w:pPr>
      <w:r>
        <w:rPr>
          <w:b/>
          <w:bCs/>
          <w:color w:val="002355"/>
        </w:rPr>
        <w:t>Ausblick 2026: Stabiler Geschäftsverlauf und Umstellung der Guidance</w:t>
      </w:r>
      <w:r>
        <w:rPr>
          <w:sz w:val="22"/>
          <w:szCs w:val="22"/>
        </w:rPr>
        <w:t xml:space="preserve"> </w:t>
      </w:r>
      <w:r>
        <w:rPr>
          <w:sz w:val="22"/>
          <w:szCs w:val="22"/>
        </w:rPr>
        <w:br/>
      </w:r>
      <w:r>
        <w:rPr>
          <w:color w:val="0A0F0A"/>
          <w:highlight w:val="white"/>
        </w:rPr>
        <w:t>Für das Geschäftsjahr 2026 erwartet Koenig &amp; Bauer eine Fortsetzung der operativen Stabilität. Mit Beginn des Jahres</w:t>
      </w:r>
      <w:r>
        <w:rPr>
          <w:color w:val="0A0F0A"/>
          <w:highlight w:val="white"/>
        </w:rPr>
        <w:t xml:space="preserve"> 2026 wurde die Guidance vom operativen EBIT auf das operative EBITDA umgestellt.</w:t>
      </w:r>
    </w:p>
    <w:p w:rsidR="009D33CC" w:rsidRDefault="00A5762F">
      <w:pPr>
        <w:pBdr>
          <w:top w:val="nil"/>
          <w:left w:val="nil"/>
          <w:bottom w:val="nil"/>
          <w:right w:val="nil"/>
          <w:between w:val="nil"/>
        </w:pBdr>
        <w:spacing w:before="240"/>
        <w:rPr>
          <w:color w:val="0A0F0A"/>
          <w:highlight w:val="white"/>
        </w:rPr>
      </w:pPr>
      <w:r>
        <w:rPr>
          <w:color w:val="0A0F0A"/>
          <w:highlight w:val="white"/>
        </w:rPr>
        <w:t>„Wir haben 2025 eine weitere erfolgreiche Profitabilitätssteigerung erzielt“, betont Dr. Alexander Blum, CFO von Koenig &amp; Bauer. „Gleichzeitig unterstreicht der positive Jahr</w:t>
      </w:r>
      <w:r>
        <w:rPr>
          <w:color w:val="0A0F0A"/>
          <w:highlight w:val="white"/>
        </w:rPr>
        <w:t>esauftakt unsere hohe Widerstandskraft: Ein solider Auftragsbestand gepaart mit einem guten Auftragseingang im ersten Quartal 2026, der über dem Vorjahresniveau liegt, sichert unsere Zielerreichung für das laufende Geschäftsjahr ab.“</w:t>
      </w:r>
    </w:p>
    <w:p w:rsidR="009D33CC" w:rsidRDefault="00A5762F">
      <w:pPr>
        <w:pBdr>
          <w:top w:val="nil"/>
          <w:left w:val="nil"/>
          <w:bottom w:val="nil"/>
          <w:right w:val="nil"/>
          <w:between w:val="nil"/>
        </w:pBdr>
        <w:spacing w:before="240"/>
      </w:pPr>
      <w:r>
        <w:rPr>
          <w:color w:val="0A0F0A"/>
          <w:highlight w:val="white"/>
        </w:rPr>
        <w:t>Unter der Annahme, das</w:t>
      </w:r>
      <w:r>
        <w:rPr>
          <w:color w:val="0A0F0A"/>
          <w:highlight w:val="white"/>
        </w:rPr>
        <w:t xml:space="preserve">s die weltwirtschaftliche Entwicklung in den relevanten Märkten stabil bleibt und zeitnah Klarheit hinsichtlich möglicher US-Einfuhrzölle besteht, prognostiziert der Vorstand für 2026 einen Konzernumsatz auf Vorjahresniveau sowie ein operatives EBITDA von </w:t>
      </w:r>
      <w:r>
        <w:rPr>
          <w:color w:val="0A0F0A"/>
          <w:highlight w:val="white"/>
        </w:rPr>
        <w:t>circa 80 Mio. € wie im Vorjahr. Die Prognose wird getragen von einem stabilen Umsatz und einem leicht reduzierten operativen EBITDA im Segment P&amp;P. Für das Segment S&amp;T wird ein deutlich steigender Umsatz- und Ergebnisbeitrag erwartet, dessen Profitabilität</w:t>
      </w:r>
      <w:r>
        <w:rPr>
          <w:color w:val="0A0F0A"/>
          <w:highlight w:val="white"/>
        </w:rPr>
        <w:t xml:space="preserve"> durch die fortschreitende Skalierung in neuen Geschäftsfeldern und die stabile Auslastung im Wertpapierbereich gestützt wird. Die Prognose steht unter dem Vorbehalt, dass es zu keiner weiteren signifikanten Eintrübung des globalen Investitionsklimas durch</w:t>
      </w:r>
      <w:r>
        <w:rPr>
          <w:color w:val="0A0F0A"/>
          <w:highlight w:val="white"/>
        </w:rPr>
        <w:t xml:space="preserve"> anhaltende geopolitische Spannungen kommt.</w:t>
      </w:r>
    </w:p>
    <w:p w:rsidR="009D33CC" w:rsidRDefault="009D33CC"/>
    <w:p w:rsidR="009D33CC" w:rsidRDefault="00A5762F">
      <w:hyperlink r:id="rId7" w:history="1">
        <w:r w:rsidRPr="00A5762F">
          <w:rPr>
            <w:rStyle w:val="Hyperlink"/>
          </w:rPr>
          <w:t>Zahlen auf einen Blick</w:t>
        </w:r>
      </w:hyperlink>
      <w:bookmarkStart w:id="3" w:name="_GoBack"/>
      <w:bookmarkEnd w:id="3"/>
    </w:p>
    <w:p w:rsidR="009D33CC" w:rsidRDefault="00A5762F">
      <w:r>
        <w:t xml:space="preserve">Die Geschäftsbericht 2025 steht als PDF-Download </w:t>
      </w:r>
      <w:hyperlink r:id="rId8" w:history="1">
        <w:r w:rsidRPr="00A5762F">
          <w:rPr>
            <w:rStyle w:val="Hyperlink"/>
          </w:rPr>
          <w:t>hier</w:t>
        </w:r>
      </w:hyperlink>
      <w:r>
        <w:t xml:space="preserve"> zur Verfügung.</w:t>
      </w:r>
    </w:p>
    <w:p w:rsidR="009D33CC" w:rsidRDefault="00A5762F">
      <w:pPr>
        <w:pStyle w:val="berschrift5"/>
      </w:pPr>
      <w:bookmarkStart w:id="4" w:name="_2et92p0" w:colFirst="0" w:colLast="0"/>
      <w:bookmarkEnd w:id="4"/>
      <w:r>
        <w:t>Foto:</w:t>
      </w:r>
    </w:p>
    <w:p w:rsidR="009D33CC" w:rsidRDefault="00A5762F">
      <w:pPr>
        <w:rPr>
          <w:sz w:val="22"/>
          <w:szCs w:val="22"/>
        </w:rPr>
      </w:pPr>
      <w:r>
        <w:rPr>
          <w:b/>
          <w:bCs/>
        </w:rPr>
        <w:t xml:space="preserve">Zeichen setzen mit „IMPACT“: </w:t>
      </w:r>
      <w:r>
        <w:t>Koenig &amp; Bauer veröffentlicht die Jahreszahlen im bewährten, modularen Format. Das g</w:t>
      </w:r>
      <w:r>
        <w:t xml:space="preserve">anzheitliche Konzept aus detailliertem Geschäftsbericht, digitaler Version und kompakter Summary im eigens gefertigten Packaging rückt in diesem Jahr den neuen strategischen Leitfaden „IMPACT“ in den Fokus. Die Kugel verkörpert das verbindende Prinzip des </w:t>
      </w:r>
      <w:r>
        <w:t>Konzerns: Koenig &amp; Bauer ist niemals statisch, sondern stets in Bewegung. Die Kugel verkörpert das Potenzial, Kräfte aufzunehmen, diese in Dynamik zu übersetzen und so echten, messbaren ‚IMPACT‘ für Kunden und Aktionäre zu erzeugen.</w:t>
      </w:r>
      <w:r>
        <w:br/>
        <w:t>© Koenig &amp; Bauer</w:t>
      </w:r>
      <w:r>
        <w:br/>
      </w:r>
    </w:p>
    <w:p w:rsidR="009D33CC" w:rsidRDefault="00A5762F">
      <w:pPr>
        <w:pStyle w:val="berschrift4"/>
      </w:pPr>
      <w:bookmarkStart w:id="5" w:name="_c398knssqtt8" w:colFirst="0" w:colLast="0"/>
      <w:bookmarkEnd w:id="5"/>
      <w:r>
        <w:t>Anspr</w:t>
      </w:r>
      <w:r>
        <w:t>echpartnerin für Investor Relations</w:t>
      </w:r>
    </w:p>
    <w:p w:rsidR="009D33CC" w:rsidRDefault="00A5762F">
      <w:r>
        <w:t>Koenig &amp; Bauer AG</w:t>
      </w:r>
      <w:r>
        <w:br/>
        <w:t>Lena Landenberger</w:t>
      </w:r>
      <w:r>
        <w:br/>
        <w:t>+49 931 909 4085</w:t>
      </w:r>
      <w:r>
        <w:br/>
      </w:r>
      <w:hyperlink r:id="rId9">
        <w:r>
          <w:rPr>
            <w:color w:val="1155CC"/>
            <w:u w:val="single"/>
          </w:rPr>
          <w:t>lena.landenberger@koenig-bauer.com</w:t>
        </w:r>
      </w:hyperlink>
    </w:p>
    <w:p w:rsidR="009D33CC" w:rsidRDefault="00A5762F">
      <w:pPr>
        <w:pStyle w:val="berschrift4"/>
      </w:pPr>
      <w:bookmarkStart w:id="6" w:name="_9rn9atyzc5pa" w:colFirst="0" w:colLast="0"/>
      <w:bookmarkEnd w:id="6"/>
      <w:r>
        <w:t>Ansprechpartnerin für Presse</w:t>
      </w:r>
    </w:p>
    <w:p w:rsidR="009D33CC" w:rsidRDefault="00A5762F">
      <w:r>
        <w:t>Koenig &amp; Bauer AG</w:t>
      </w:r>
      <w:r>
        <w:br/>
        <w:t>Dagmar Ringel</w:t>
      </w:r>
      <w:r>
        <w:br/>
      </w:r>
      <w:r>
        <w:t>+49 931 909 6756</w:t>
      </w:r>
      <w:r>
        <w:br/>
      </w:r>
      <w:hyperlink r:id="rId10">
        <w:r>
          <w:rPr>
            <w:color w:val="1155CC"/>
            <w:u w:val="single"/>
          </w:rPr>
          <w:t>dagmar.ringel@koenig-bauer.com</w:t>
        </w:r>
      </w:hyperlink>
    </w:p>
    <w:p w:rsidR="009D33CC" w:rsidRDefault="00A5762F">
      <w:pPr>
        <w:shd w:val="clear" w:color="auto" w:fill="FFFFFF"/>
        <w:spacing w:before="240" w:line="250" w:lineRule="auto"/>
      </w:pPr>
      <w:r>
        <w:t xml:space="preserve"> </w:t>
      </w:r>
    </w:p>
    <w:p w:rsidR="009D33CC" w:rsidRDefault="00A5762F">
      <w:pPr>
        <w:pStyle w:val="berschrift4"/>
      </w:pPr>
      <w:bookmarkStart w:id="7" w:name="_1wxqedid8pv3" w:colFirst="0" w:colLast="0"/>
      <w:bookmarkEnd w:id="7"/>
      <w:r>
        <w:t>Über Koenig &amp; Bauer</w:t>
      </w:r>
    </w:p>
    <w:p w:rsidR="009D33CC" w:rsidRDefault="00A5762F">
      <w:r>
        <w:t>Koenig &amp; Bauer mit Sitz in Würzburg (Deutschland) ist ein weltweit tätiger Druckmaschinenhersteller. Das Unternehmen produzie</w:t>
      </w:r>
      <w:r>
        <w:t>rt Maschinen und Software-Lösungen für den gesamten Prozess von Druck und Weiterverarbeitung, schwerpunktmäßig im Bereich der Verpackungen. Anlagen von Koenig &amp; Bauer können nahezu alle Substrate bedrucken – das Portfolio reicht von Banknoten über Karton-,</w:t>
      </w:r>
      <w:r>
        <w:t xml:space="preserve"> Wellpappe-, Folien-, Blech- und Glasverpackungen bis hin zum Bücher-, Display-, Kennzeichnungs-, Dekor-, Magazin-, Werbe- und Zeitungsdruck. Mit einer über 200-jährigen Geschichte ist Koenig &amp; Bauer der älteste Druckmaschinenhersteller der Welt und beherr</w:t>
      </w:r>
      <w:r>
        <w:t>scht heute fast alle Druckverfahren. Im gesamten Konzern arbeiten rund 5.500 Menschen. Koenig &amp; Bauer produziert an elf Standorten in Europa und unterhält ein weltweites Vertriebs- und Servicenetzwerk. Der Konzernumsatz im Geschäftsjahr 2025 lag bei rund 1</w:t>
      </w:r>
      <w:r>
        <w:t>,3 Milliarden Euro.</w:t>
      </w:r>
    </w:p>
    <w:p w:rsidR="009D33CC" w:rsidRDefault="00A5762F">
      <w:r>
        <w:t>Weitere Informationen unter</w:t>
      </w:r>
      <w:hyperlink r:id="rId11">
        <w:r>
          <w:rPr>
            <w:color w:val="1155CC"/>
            <w:u w:val="single"/>
          </w:rPr>
          <w:t xml:space="preserve"> www.koenig-bauer.com</w:t>
        </w:r>
      </w:hyperlink>
    </w:p>
    <w:p w:rsidR="009D33CC" w:rsidRDefault="009D33CC"/>
    <w:sectPr w:rsidR="009D33CC">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5762F">
      <w:pPr>
        <w:spacing w:after="0" w:line="240" w:lineRule="auto"/>
      </w:pPr>
      <w:r>
        <w:separator/>
      </w:r>
    </w:p>
  </w:endnote>
  <w:endnote w:type="continuationSeparator" w:id="0">
    <w:p w:rsidR="00000000" w:rsidRDefault="00A5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F47460-1D62-469B-A56C-275D4E0B35D2}"/>
  </w:font>
  <w:font w:name="Cambria">
    <w:panose1 w:val="02040503050406030204"/>
    <w:charset w:val="00"/>
    <w:family w:val="roman"/>
    <w:pitch w:val="variable"/>
    <w:sig w:usb0="E00006FF" w:usb1="420024FF" w:usb2="02000000" w:usb3="00000000" w:csb0="0000019F" w:csb1="00000000"/>
    <w:embedRegular r:id="rId2" w:fontKey="{2D1AAC4E-FB35-43DC-99F5-A1FD139E61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3CC" w:rsidRDefault="00A5762F">
    <w:pPr>
      <w:jc w:val="right"/>
    </w:pPr>
    <w:r>
      <w:rPr>
        <w:sz w:val="14"/>
        <w:szCs w:val="14"/>
      </w:rPr>
      <w:t>Punktlandung 2025 und starker Auftakt 2026: Koenig &amp; Bauer erreich</w:t>
    </w:r>
    <w:r>
      <w:rPr>
        <w:sz w:val="14"/>
        <w:szCs w:val="14"/>
      </w:rPr>
      <w:t xml:space="preserve">t Jahresziele, </w:t>
    </w:r>
    <w:r>
      <w:rPr>
        <w:sz w:val="14"/>
        <w:szCs w:val="14"/>
      </w:rPr>
      <w:br/>
      <w:t xml:space="preserve">steigert Auftragseingang im ersten Quartal und startet mit „IMPACT“ in neue Ära | </w:t>
    </w:r>
    <w:r>
      <w:rPr>
        <w:sz w:val="14"/>
        <w:szCs w:val="14"/>
      </w:rPr>
      <w:fldChar w:fldCharType="begin"/>
    </w:r>
    <w:r>
      <w:rPr>
        <w:sz w:val="14"/>
        <w:szCs w:val="14"/>
      </w:rPr>
      <w:instrText>PAGE</w:instrText>
    </w:r>
    <w:r>
      <w:rPr>
        <w:sz w:val="14"/>
        <w:szCs w:val="14"/>
      </w:rPr>
      <w:fldChar w:fldCharType="separate"/>
    </w:r>
    <w:r>
      <w:rPr>
        <w:noProof/>
        <w:sz w:val="14"/>
        <w:szCs w:val="14"/>
      </w:rPr>
      <w:t>1</w:t>
    </w:r>
    <w:r>
      <w:rPr>
        <w:sz w:val="14"/>
        <w:szCs w:val="14"/>
      </w:rPr>
      <w:fldChar w:fldCharType="end"/>
    </w:r>
  </w:p>
  <w:p w:rsidR="009D33CC" w:rsidRDefault="009D33C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5762F">
      <w:pPr>
        <w:spacing w:after="0" w:line="240" w:lineRule="auto"/>
      </w:pPr>
      <w:r>
        <w:separator/>
      </w:r>
    </w:p>
  </w:footnote>
  <w:footnote w:type="continuationSeparator" w:id="0">
    <w:p w:rsidR="00000000" w:rsidRDefault="00A57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3CC" w:rsidRDefault="00A5762F">
    <w:pPr>
      <w:jc w:val="center"/>
    </w:pPr>
    <w:r>
      <w:rPr>
        <w:noProof/>
        <w:lang w:val="de-DE"/>
      </w:rPr>
      <w:drawing>
        <wp:inline distT="114300" distB="114300" distL="114300" distR="114300">
          <wp:extent cx="2592000" cy="2184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92000" cy="2184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0F22"/>
    <w:multiLevelType w:val="multilevel"/>
    <w:tmpl w:val="6E7C2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DC42F0"/>
    <w:multiLevelType w:val="multilevel"/>
    <w:tmpl w:val="865AC910"/>
    <w:lvl w:ilvl="0">
      <w:start w:val="1"/>
      <w:numFmt w:val="bullet"/>
      <w:lvlText w:val="•"/>
      <w:lvlJc w:val="left"/>
      <w:pPr>
        <w:ind w:left="340" w:hanging="340"/>
      </w:pPr>
      <w:rPr>
        <w:u w:val="none"/>
      </w:rPr>
    </w:lvl>
    <w:lvl w:ilvl="1">
      <w:start w:val="1"/>
      <w:numFmt w:val="bullet"/>
      <w:lvlText w:val="•"/>
      <w:lvlJc w:val="left"/>
      <w:pPr>
        <w:ind w:left="680" w:hanging="340"/>
      </w:pPr>
      <w:rPr>
        <w:u w:val="none"/>
      </w:rPr>
    </w:lvl>
    <w:lvl w:ilvl="2">
      <w:start w:val="1"/>
      <w:numFmt w:val="bullet"/>
      <w:lvlText w:val="•"/>
      <w:lvlJc w:val="left"/>
      <w:pPr>
        <w:ind w:left="1020" w:hanging="340"/>
      </w:pPr>
      <w:rPr>
        <w:u w:val="none"/>
      </w:rPr>
    </w:lvl>
    <w:lvl w:ilvl="3">
      <w:start w:val="1"/>
      <w:numFmt w:val="bullet"/>
      <w:lvlText w:val="•"/>
      <w:lvlJc w:val="left"/>
      <w:pPr>
        <w:ind w:left="1360" w:hanging="340"/>
      </w:pPr>
      <w:rPr>
        <w:u w:val="none"/>
      </w:rPr>
    </w:lvl>
    <w:lvl w:ilvl="4">
      <w:start w:val="1"/>
      <w:numFmt w:val="bullet"/>
      <w:lvlText w:val="•"/>
      <w:lvlJc w:val="left"/>
      <w:pPr>
        <w:ind w:left="1700" w:hanging="340"/>
      </w:pPr>
      <w:rPr>
        <w:u w:val="none"/>
      </w:rPr>
    </w:lvl>
    <w:lvl w:ilvl="5">
      <w:start w:val="1"/>
      <w:numFmt w:val="bullet"/>
      <w:lvlText w:val="•"/>
      <w:lvlJc w:val="left"/>
      <w:pPr>
        <w:ind w:left="2040" w:hanging="340"/>
      </w:pPr>
      <w:rPr>
        <w:u w:val="none"/>
      </w:rPr>
    </w:lvl>
    <w:lvl w:ilvl="6">
      <w:start w:val="1"/>
      <w:numFmt w:val="bullet"/>
      <w:lvlText w:val="•"/>
      <w:lvlJc w:val="left"/>
      <w:pPr>
        <w:ind w:left="2380" w:hanging="340"/>
      </w:pPr>
      <w:rPr>
        <w:u w:val="none"/>
      </w:rPr>
    </w:lvl>
    <w:lvl w:ilvl="7">
      <w:start w:val="1"/>
      <w:numFmt w:val="bullet"/>
      <w:lvlText w:val="•"/>
      <w:lvlJc w:val="left"/>
      <w:pPr>
        <w:ind w:left="2720" w:hanging="340"/>
      </w:pPr>
      <w:rPr>
        <w:u w:val="none"/>
      </w:rPr>
    </w:lvl>
    <w:lvl w:ilvl="8">
      <w:start w:val="1"/>
      <w:numFmt w:val="bullet"/>
      <w:lvlText w:val="•"/>
      <w:lvlJc w:val="left"/>
      <w:pPr>
        <w:ind w:left="3060" w:hanging="34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3CC"/>
    <w:rsid w:val="009D33CC"/>
    <w:rsid w:val="00A576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C801F-14DC-4642-9673-13E2EDDE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de" w:eastAsia="de-DE"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tabs>
        <w:tab w:val="left" w:pos="850"/>
      </w:tabs>
      <w:spacing w:before="480" w:line="240" w:lineRule="auto"/>
      <w:outlineLvl w:val="0"/>
    </w:pPr>
    <w:rPr>
      <w:b/>
      <w:bCs/>
      <w:color w:val="002355"/>
      <w:sz w:val="40"/>
      <w:szCs w:val="40"/>
    </w:rPr>
  </w:style>
  <w:style w:type="paragraph" w:styleId="berschrift2">
    <w:name w:val="heading 2"/>
    <w:basedOn w:val="Standard"/>
    <w:next w:val="Standard"/>
    <w:pPr>
      <w:keepNext/>
      <w:keepLines/>
      <w:outlineLvl w:val="1"/>
    </w:pPr>
    <w:rPr>
      <w:b/>
      <w:bCs/>
      <w:color w:val="002355"/>
      <w:sz w:val="28"/>
      <w:szCs w:val="28"/>
    </w:rPr>
  </w:style>
  <w:style w:type="paragraph" w:styleId="berschrift3">
    <w:name w:val="heading 3"/>
    <w:basedOn w:val="Standard"/>
    <w:next w:val="Standard"/>
    <w:pPr>
      <w:keepNext/>
      <w:keepLines/>
      <w:spacing w:after="0"/>
      <w:outlineLvl w:val="2"/>
    </w:pPr>
    <w:rPr>
      <w:b/>
      <w:bCs/>
      <w:color w:val="002355"/>
    </w:rPr>
  </w:style>
  <w:style w:type="paragraph" w:styleId="berschrift4">
    <w:name w:val="heading 4"/>
    <w:basedOn w:val="Standard"/>
    <w:next w:val="Standard"/>
    <w:pPr>
      <w:keepNext/>
      <w:keepLines/>
      <w:spacing w:after="0"/>
      <w:outlineLvl w:val="3"/>
    </w:pPr>
    <w:rPr>
      <w:b/>
      <w:bCs/>
    </w:rPr>
  </w:style>
  <w:style w:type="paragraph" w:styleId="berschrift5">
    <w:name w:val="heading 5"/>
    <w:basedOn w:val="Standard"/>
    <w:next w:val="Standard"/>
    <w:pPr>
      <w:keepNext/>
      <w:keepLines/>
      <w:spacing w:after="0"/>
      <w:outlineLvl w:val="4"/>
    </w:pPr>
    <w:rPr>
      <w:b/>
      <w:bCs/>
    </w:rPr>
  </w:style>
  <w:style w:type="paragraph" w:styleId="berschrift6">
    <w:name w:val="heading 6"/>
    <w:basedOn w:val="Standard"/>
    <w:next w:val="Standard"/>
    <w:pPr>
      <w:keepNext/>
      <w:keepLines/>
      <w:spacing w:before="240" w:after="80"/>
      <w:outlineLvl w:val="5"/>
    </w:pPr>
    <w:rPr>
      <w:i/>
      <w:iCs/>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line="240" w:lineRule="auto"/>
    </w:pPr>
    <w:rPr>
      <w:color w:val="002355"/>
      <w:sz w:val="28"/>
      <w:szCs w:val="28"/>
    </w:rPr>
  </w:style>
  <w:style w:type="character" w:styleId="Hyperlink">
    <w:name w:val="Hyperlink"/>
    <w:basedOn w:val="Absatz-Standardschriftart"/>
    <w:uiPriority w:val="99"/>
    <w:unhideWhenUsed/>
    <w:rsid w:val="00A576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nvestors.koenig-bauer.com/fileadmin/user_upload/04_Unternehmen/Investor_Relations/Berichte/Berichte_2025_GB/26-03-26-ir-annual-report-2025-de.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nvestors.koenig-bauer.com/fileadmin/user_upload/04_Unternehmen/Investor_Relations/Berichte/Berichte_2025_GB/26-03-26-ir-group-key-figures-for-the-2025-financial-year-de.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enig-bauer.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ena.landenberger@koenig-bauer.com" TargetMode="External"/><Relationship Id="rId4" Type="http://schemas.openxmlformats.org/officeDocument/2006/relationships/webSettings" Target="webSettings.xml"/><Relationship Id="rId9" Type="http://schemas.openxmlformats.org/officeDocument/2006/relationships/hyperlink" Target="mailto:lena.landenberger@koenig-bau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1564</Words>
  <Characters>9855</Characters>
  <Application>Microsoft Office Word</Application>
  <DocSecurity>0</DocSecurity>
  <Lines>82</Lines>
  <Paragraphs>22</Paragraphs>
  <ScaleCrop>false</ScaleCrop>
  <Company>KOENIG &amp; BAUER AG</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Rügamer, René (ZFI)</cp:lastModifiedBy>
  <cp:revision>2</cp:revision>
  <dcterms:created xsi:type="dcterms:W3CDTF">2026-03-25T20:30:00Z</dcterms:created>
  <dcterms:modified xsi:type="dcterms:W3CDTF">2026-03-26T06:09:00Z</dcterms:modified>
</cp:coreProperties>
</file>