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031" w:rsidRDefault="00257FF2">
      <w:pPr>
        <w:pStyle w:val="Titel"/>
        <w:keepNext w:val="0"/>
        <w:keepLines w:val="0"/>
        <w:tabs>
          <w:tab w:val="left" w:pos="850"/>
        </w:tabs>
        <w:spacing w:before="840" w:after="600" w:line="240" w:lineRule="auto"/>
        <w:rPr>
          <w:b/>
          <w:bCs/>
          <w:color w:val="002355"/>
          <w:sz w:val="60"/>
          <w:szCs w:val="60"/>
        </w:rPr>
      </w:pPr>
      <w:bookmarkStart w:id="0" w:name="_gjdgxs" w:colFirst="0" w:colLast="0"/>
      <w:bookmarkEnd w:id="0"/>
      <w:r>
        <w:rPr>
          <w:b/>
          <w:bCs/>
          <w:color w:val="002355"/>
          <w:sz w:val="60"/>
          <w:szCs w:val="60"/>
        </w:rPr>
        <w:t xml:space="preserve">Presseinformation </w:t>
      </w:r>
    </w:p>
    <w:p w:rsidR="001B0031" w:rsidRDefault="00257FF2">
      <w:pPr>
        <w:pStyle w:val="berschrift1"/>
        <w:spacing w:before="240"/>
      </w:pPr>
      <w:bookmarkStart w:id="1" w:name="_8dc17rpedp3q" w:colFirst="0" w:colLast="0"/>
      <w:bookmarkEnd w:id="1"/>
      <w:r>
        <w:t xml:space="preserve">Koenig &amp; Bauer mit starkem zweiten Quartal: Signifikanter Auftragszuwachs, deutliche unterjährige Ergebnisverbesserung und positiver Free Cashflow </w:t>
      </w:r>
    </w:p>
    <w:p w:rsidR="001B0031" w:rsidRDefault="001B0031">
      <w:pPr>
        <w:pStyle w:val="berschrift1"/>
        <w:spacing w:before="240"/>
      </w:pPr>
      <w:bookmarkStart w:id="2" w:name="_lnyxcq7s6zb" w:colFirst="0" w:colLast="0"/>
      <w:bookmarkEnd w:id="2"/>
    </w:p>
    <w:p w:rsidR="001B0031" w:rsidRDefault="001B0031">
      <w:pPr>
        <w:spacing w:after="0"/>
      </w:pPr>
    </w:p>
    <w:p w:rsidR="001B0031" w:rsidRDefault="00257FF2">
      <w:pPr>
        <w:numPr>
          <w:ilvl w:val="0"/>
          <w:numId w:val="1"/>
        </w:numPr>
        <w:shd w:val="clear" w:color="auto" w:fill="FFFFFF"/>
        <w:spacing w:after="0"/>
        <w:rPr>
          <w:color w:val="303030"/>
          <w:sz w:val="24"/>
          <w:szCs w:val="24"/>
        </w:rPr>
      </w:pPr>
      <w:r>
        <w:t>Höchster H1-Auftragseingang seit acht Jahren: Signifikanter Anstieg um +16,9 % auf 709,3 Mio. €; Auftragsbestand auf neuem historischen Höchststand von 1.121,7 Mio. €</w:t>
      </w:r>
    </w:p>
    <w:p w:rsidR="001B0031" w:rsidRDefault="00257F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color w:val="303030"/>
          <w:sz w:val="24"/>
          <w:szCs w:val="24"/>
        </w:rPr>
      </w:pPr>
      <w:r>
        <w:t>Konzernumsatz steigt leicht um +1,4 % auf 558,2 Mio. € – starke Book-to-Bill-Ratio von 1,</w:t>
      </w:r>
      <w:r>
        <w:t>27 im ersten Halbjahr belegt hohe Wachstumsdynamik</w:t>
      </w:r>
    </w:p>
    <w:p w:rsidR="001B0031" w:rsidRDefault="00257F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color w:val="303030"/>
          <w:sz w:val="24"/>
          <w:szCs w:val="24"/>
        </w:rPr>
      </w:pPr>
      <w:r>
        <w:t xml:space="preserve">Starke sequenzielle Ergebnisverbesserung im Q2-26 auf ein operatives EBITDA von 17,0 Mio. € steigert das Halbjahresergebnis deutlich um +20,5 % auf 14,1 Mio. € </w:t>
      </w:r>
    </w:p>
    <w:p w:rsidR="001B0031" w:rsidRDefault="00257F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color w:val="303030"/>
          <w:sz w:val="24"/>
          <w:szCs w:val="24"/>
        </w:rPr>
      </w:pPr>
      <w:r w:rsidRPr="00257FF2">
        <w:rPr>
          <w:lang w:val="en-US"/>
        </w:rPr>
        <w:t xml:space="preserve">Positiver Free Cashflow von +16,8 Mio. </w:t>
      </w:r>
      <w:r>
        <w:t xml:space="preserve">€ im </w:t>
      </w:r>
      <w:r>
        <w:t>Q2-26 – deutliche Steigerung gegenüber Vorjahr (-55,3 Mio. €); NWC-Quote im ersten Halbjahr mit 21,4 % sicher unterhalb der Zielgröße</w:t>
      </w:r>
    </w:p>
    <w:p w:rsidR="001B0031" w:rsidRDefault="00257F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color w:val="303030"/>
          <w:sz w:val="24"/>
          <w:szCs w:val="24"/>
        </w:rPr>
      </w:pPr>
      <w:r>
        <w:t>Beide Segmente treiben die Erholung im Q2-26 voran, wobei S&amp;T ein starkes operatives EBITDA von 11,8 Mio. € im Halbjahr er</w:t>
      </w:r>
      <w:r>
        <w:t xml:space="preserve">zielt und P&amp;P im Q2-26 mit +6,8 Mio. € die Rückkehr in die Profitabilität gelingt </w:t>
      </w:r>
    </w:p>
    <w:p w:rsidR="001B0031" w:rsidRDefault="00257F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color w:val="303030"/>
          <w:sz w:val="24"/>
          <w:szCs w:val="24"/>
        </w:rPr>
      </w:pPr>
      <w:r>
        <w:t>Zur Sicherung der Ertragskraft im Segment P&amp;P wurde zum 1. Juli 2026 eine anteilige Preisanpassung von +3 % umgesetzt, welche die Effekte kompensiert, die über die gezielten</w:t>
      </w:r>
      <w:r>
        <w:t xml:space="preserve"> Kostensenkungsmaßnahmen gegen den geopolitischen Kostendruck hinausgehen</w:t>
      </w:r>
    </w:p>
    <w:p w:rsidR="001B0031" w:rsidRDefault="00257F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  <w:rPr>
          <w:color w:val="303030"/>
          <w:sz w:val="24"/>
          <w:szCs w:val="24"/>
        </w:rPr>
      </w:pPr>
      <w:r>
        <w:t>Ausblick 2026 bestätigt: Stabiler Konzernumsatz auf Vorjahresniveau (~1,3 Mrd. €) sowie operatives EBITDA von circa 80 Mio. € prognostiziert</w:t>
      </w:r>
    </w:p>
    <w:p w:rsidR="001B0031" w:rsidRDefault="001B0031">
      <w:pPr>
        <w:pStyle w:val="berschrift3"/>
        <w:rPr>
          <w:color w:val="000000"/>
          <w:sz w:val="40"/>
          <w:szCs w:val="40"/>
        </w:rPr>
      </w:pPr>
      <w:bookmarkStart w:id="3" w:name="_3znysh7" w:colFirst="0" w:colLast="0"/>
      <w:bookmarkEnd w:id="3"/>
    </w:p>
    <w:p w:rsidR="001B0031" w:rsidRDefault="00257FF2">
      <w:pPr>
        <w:pBdr>
          <w:top w:val="nil"/>
          <w:left w:val="nil"/>
          <w:bottom w:val="nil"/>
          <w:right w:val="nil"/>
          <w:between w:val="nil"/>
        </w:pBdr>
      </w:pPr>
      <w:r>
        <w:rPr>
          <w:highlight w:val="white"/>
        </w:rPr>
        <w:t>Würzburg, 06.08.2026</w:t>
      </w:r>
      <w:r>
        <w:rPr>
          <w:highlight w:val="white"/>
        </w:rPr>
        <w:br/>
      </w:r>
      <w:r>
        <w:rPr>
          <w:highlight w:val="white"/>
        </w:rPr>
        <w:t>Die Koenig &amp; Bauer AG verzeichnete im zweiten Quartal 2026 eine deutliche operative Ergebnisverbesserung. Ein massiver Zuwachs beim Auftragseingang, der erfolgreiche operative Turnaround beider Segmente im Quartalsverlauf sowie eine signifikante Verbesseru</w:t>
      </w:r>
      <w:r>
        <w:rPr>
          <w:highlight w:val="white"/>
        </w:rPr>
        <w:t xml:space="preserve">ng der Cash-Generierung belegen die hohe Resilienz und Ertragskraft des Technologiekonzerns in einem anspruchsvollen Marktumfeld. </w:t>
      </w:r>
      <w:r>
        <w:rPr>
          <w:highlight w:val="white"/>
        </w:rPr>
        <w:br/>
      </w:r>
      <w:r>
        <w:rPr>
          <w:highlight w:val="white"/>
        </w:rPr>
        <w:br/>
      </w:r>
      <w:r>
        <w:t>„Das deutliche Auftragsplus von fast 17 Prozent im ersten Halbjahr bestätigt die Zugkraft unserer Go-To-Market-Strategie“, e</w:t>
      </w:r>
      <w:r>
        <w:t xml:space="preserve">rklärt der Vorstandsvorsitzende Dr. Stephen Kimmich. „Mit gezielten Innovationen </w:t>
      </w:r>
      <w:r>
        <w:lastRenderedPageBreak/>
        <w:t>stärken wir unsere Position im Kerngeschäft spürbar. Diese Dynamik gibt uns den Handlungsspielraum, unsere Wettbewerbsfähigkeit weiter konsequent auszubauen. Die Optimierung u</w:t>
      </w:r>
      <w:r>
        <w:t xml:space="preserve">nserer Strukturkosten bleibt dabei ein zentraler Hebel, um unsere Resilienz zu erhöhen und die Basis für profitables Wachstum nachhaltig zu festigen.“ </w:t>
      </w:r>
    </w:p>
    <w:p w:rsidR="001B0031" w:rsidRDefault="00257FF2">
      <w:pPr>
        <w:pBdr>
          <w:top w:val="nil"/>
          <w:left w:val="nil"/>
          <w:bottom w:val="nil"/>
          <w:right w:val="nil"/>
          <w:between w:val="nil"/>
        </w:pBdr>
        <w:rPr>
          <w:highlight w:val="white"/>
        </w:rPr>
      </w:pPr>
      <w:r>
        <w:rPr>
          <w:b/>
          <w:bCs/>
          <w:color w:val="002355"/>
        </w:rPr>
        <w:t xml:space="preserve">Geschäftsentwicklung H1/Q2-26: Starkes Auftragsplus, deutliche Ergebnisverbesserung, Umsatzwachstum und </w:t>
      </w:r>
      <w:r>
        <w:rPr>
          <w:b/>
          <w:bCs/>
          <w:color w:val="002355"/>
        </w:rPr>
        <w:t xml:space="preserve">positiver Cashflow </w:t>
      </w:r>
      <w:r>
        <w:rPr>
          <w:b/>
          <w:bCs/>
          <w:color w:val="002355"/>
        </w:rPr>
        <w:br/>
      </w:r>
      <w:r>
        <w:rPr>
          <w:highlight w:val="white"/>
        </w:rPr>
        <w:t>Der Konzernumsatz stieg im ersten Halbjahr leicht um +1,4 % auf 558,2 Mio. € (Vj.: 550,4 Mio. €). Eine starke Book-to-Bill-Ratio von 1,27 (Vj.: 1,10) belegt die hohe operative Wachstumsdynamik. Der Auftragseingang der Gruppe stieg signi</w:t>
      </w:r>
      <w:r>
        <w:rPr>
          <w:highlight w:val="white"/>
        </w:rPr>
        <w:t>fikant um +16,9 % auf 709,3 Mio. € (Vj.: 606,9 Mio. €), angetrieben durch eine erneute Beschleunigung der Nachfrage im zweiten Quartal auf 411,7 Mio. €. Der Auftragsbestand bleibt mit 1.121,7 Mio. € (Vj.: 1.096,3 Mio. €) auf einem neuen historischen Höchst</w:t>
      </w:r>
      <w:r>
        <w:rPr>
          <w:highlight w:val="white"/>
        </w:rPr>
        <w:t>stand in der jüngsten Unternehmensgeschichte und bildet eine verlässliche Basis für die weitere Geschäftsentwicklung.</w:t>
      </w:r>
    </w:p>
    <w:p w:rsidR="001B0031" w:rsidRDefault="00257FF2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highlight w:val="white"/>
        </w:rPr>
      </w:pPr>
      <w:r>
        <w:rPr>
          <w:highlight w:val="white"/>
        </w:rPr>
        <w:t xml:space="preserve">Das operative EBITDA verbesserte sich im Halbjahresvergleich deutlich um +20,5 % auf 14,1 Mio. € (Vj.: 11,7 Mio. €), maßgeblich getrieben </w:t>
      </w:r>
      <w:r>
        <w:rPr>
          <w:highlight w:val="white"/>
        </w:rPr>
        <w:t>durch eine starke Ertragsdynamik im zweiten Quartal, in dem der Konzern ein operatives EBITDA von 17,0 Mio. € erzielte. Das EBITDA von 7,4 Mio. € (Vj.: 7,5 Mio. €) enthält dabei plangemäße, nicht operative Sondereinflüsse in Höhe von 6,7 Mio. € für die Sti</w:t>
      </w:r>
      <w:r>
        <w:rPr>
          <w:highlight w:val="white"/>
        </w:rPr>
        <w:t>lllegung des Betriebs der Albert-Frankenthal GmbH.</w:t>
      </w:r>
    </w:p>
    <w:p w:rsidR="001B0031" w:rsidRDefault="00257FF2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highlight w:val="white"/>
        </w:rPr>
      </w:pPr>
      <w:r>
        <w:rPr>
          <w:highlight w:val="white"/>
        </w:rPr>
        <w:t>Ein zentraler Aspekt der Konzernsteuerung bleibt die Cash-Generierung: Im zweiten Quartal konnte mit einem positiven Free Cashflow von +16,8 Mio. € ein wichtiger Meilenstein erreicht werden, wodurch sich d</w:t>
      </w:r>
      <w:r>
        <w:rPr>
          <w:highlight w:val="white"/>
        </w:rPr>
        <w:t>er Halbjahreswert im Vorjahresvergleich signifikant um +62,7 Mio. € auf -21,0 Mio. € verbesserte. Durch aktives Management wurde das Net Working Capital (NWC) mit einer Quote von 21,4 % sicher unterhalb der Zielgröße von maximal 25 % des Konzernumsatzes ge</w:t>
      </w:r>
      <w:r>
        <w:rPr>
          <w:highlight w:val="white"/>
        </w:rPr>
        <w:t>halten.</w:t>
      </w:r>
    </w:p>
    <w:p w:rsidR="001B0031" w:rsidRDefault="00257FF2">
      <w:pPr>
        <w:pBdr>
          <w:top w:val="nil"/>
          <w:left w:val="nil"/>
          <w:bottom w:val="nil"/>
          <w:right w:val="nil"/>
          <w:between w:val="nil"/>
        </w:pBdr>
        <w:spacing w:before="240"/>
      </w:pPr>
      <w:r>
        <w:rPr>
          <w:b/>
          <w:bCs/>
          <w:color w:val="002355"/>
        </w:rPr>
        <w:t xml:space="preserve">Gemeinsame operative Trendwende in den Segmenten </w:t>
      </w:r>
      <w:r>
        <w:rPr>
          <w:b/>
          <w:bCs/>
          <w:color w:val="002355"/>
        </w:rPr>
        <w:br/>
      </w:r>
      <w:r>
        <w:t xml:space="preserve">Die operative Entwicklung der beiden Konzernsegmente war im Halbjahr von einer gemeinsamen positiven Dynamik im zweiten Quartal getragen: Im </w:t>
      </w:r>
      <w:r>
        <w:rPr>
          <w:b/>
          <w:bCs/>
        </w:rPr>
        <w:t xml:space="preserve">Segment Paper &amp; Packaging Sheetfed Systems (P&amp;P) </w:t>
      </w:r>
      <w:r>
        <w:t>verzeich</w:t>
      </w:r>
      <w:r>
        <w:t xml:space="preserve">nete Koenig &amp; Bauer einen starken Auftragseingang von 398,5 Mio. € (Vj.: 350,4 Mio. €; +13,7 %), wovon 204,2 Mio. € auf das zweite Quartal entfielen. Der Umsatz lag aufgrund des niedrigeren Orderniveaus aus 2025 mit 299,3 Mio. € leicht unter Vorjahr (Vj.: </w:t>
      </w:r>
      <w:r>
        <w:t>308,9 Mio. €; -3,1 %), zeigte jedoch im zweiten Quartal mit 165,9 Mio. € bereits eine spürbare Belebung. Das operative EBITDA spiegelte diese Umsatzbelebung wider: Nach einem verhaltenen Jahresauftakt von -8,4 Mio. € im ersten Quartal wurde im zweiten Quar</w:t>
      </w:r>
      <w:r>
        <w:t>tal wieder ein starkes operatives EBITDA von +6,8 Mio. € (H1: -1,6 Mio. €) erzielt. Zur Sicherung der Ertragskraft im Segment P&amp;P wurde zum 1. Juli 2026 eine anteilige Preisanpassung von +3 % umgesetzt, welche die Effekte kompensiert, die über die gezielte</w:t>
      </w:r>
      <w:r>
        <w:t>n Kostensenkungsmaßnahmen gegen den geopolitischen Kostendruck hinausgehen.</w:t>
      </w:r>
    </w:p>
    <w:p w:rsidR="001B0031" w:rsidRDefault="00257FF2">
      <w:pPr>
        <w:shd w:val="clear" w:color="auto" w:fill="FFFFFF"/>
        <w:spacing w:before="220" w:after="220"/>
      </w:pPr>
      <w:r>
        <w:t xml:space="preserve">Im </w:t>
      </w:r>
      <w:r>
        <w:rPr>
          <w:b/>
          <w:bCs/>
        </w:rPr>
        <w:t xml:space="preserve">Segment Special &amp; New Technologies (S&amp;T) </w:t>
      </w:r>
      <w:r>
        <w:t>gelang der erfolgreiche H1-Turnaround mit einem operativen EBITDA von 11,8 Mio. € (Vj.: -4,0 Mio. €), getrieben durch eine starke sequen</w:t>
      </w:r>
      <w:r>
        <w:t>zielle Ertragsdynamik im zweiten Quartal (7,7 Mio. € nach 4,1 Mio. € im ersten Quartal). Der Umsatz stieg um +5,2 % auf 269,9 Mio. € (Vj.: 256,6 Mio. €), getragen von Leistungsfortschritten bei Großprojekten insbesondere in Nordamerika. Der Auftragseingang</w:t>
      </w:r>
      <w:r>
        <w:t xml:space="preserve"> verzeichnete ein kräftiges Plus von +22,1 % auf 329,0 Mio. € (Vj.: 269,4 Mio. €), maßgeblich angetrieben durch ein starkes Projektgeschäft bei Banknote Solutions in Afrika und Lateinamerika, das zu einem deutlichen Anstieg im zweiten Quartal auf 214,3 Mio</w:t>
      </w:r>
      <w:r>
        <w:t>. € führte.</w:t>
      </w:r>
    </w:p>
    <w:p w:rsidR="001B0031" w:rsidRDefault="00257FF2">
      <w:pPr>
        <w:pBdr>
          <w:top w:val="nil"/>
          <w:left w:val="nil"/>
          <w:bottom w:val="nil"/>
          <w:right w:val="nil"/>
          <w:between w:val="nil"/>
        </w:pBdr>
        <w:spacing w:before="240"/>
      </w:pPr>
      <w:r>
        <w:lastRenderedPageBreak/>
        <w:t>„Wer das Ende des Bargelds prophezeite, wird von der Realität eingeholt“, kommentiert Dr. Kimmich und ergänzt: „Bargeld ist und bleibt ein unverzichtbarer Wertspeicher und unser verlässlichstes Sicherheitsnetz bei Krisen oder Cyberangriffen. Da</w:t>
      </w:r>
      <w:r>
        <w:t xml:space="preserve">ss selbst Vorreiter wie Schweden den Handel nun wieder zur Bargeldannahme verpflichten, spricht Bände. Für uns ist das ein klarer Beleg: Unsere hochspezialisierten Technologien sind heute relevanter denn je.“ </w:t>
      </w:r>
    </w:p>
    <w:p w:rsidR="001B0031" w:rsidRDefault="00257FF2">
      <w:pPr>
        <w:pBdr>
          <w:top w:val="nil"/>
          <w:left w:val="nil"/>
          <w:bottom w:val="nil"/>
          <w:right w:val="nil"/>
          <w:between w:val="nil"/>
        </w:pBdr>
        <w:spacing w:before="240"/>
      </w:pPr>
      <w:r>
        <w:rPr>
          <w:b/>
          <w:bCs/>
          <w:color w:val="002355"/>
        </w:rPr>
        <w:t>Ausblick 2026: Stabiler Geschäftsverlauf und B</w:t>
      </w:r>
      <w:r>
        <w:rPr>
          <w:b/>
          <w:bCs/>
          <w:color w:val="002355"/>
        </w:rPr>
        <w:t>estätigung der Guidance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highlight w:val="white"/>
        </w:rPr>
        <w:t xml:space="preserve">Für das Geschäftsjahr 2026 erwartet Koenig &amp; Bauer eine Fortsetzung der operativen Stabilität. </w:t>
      </w:r>
      <w:r>
        <w:t xml:space="preserve">Unter der Prämisse stabil bleibender Rahmenbedingungen bestätigt das Unternehmen die Prognose eines Konzernumsatzes auf Vorjahresniveau </w:t>
      </w:r>
      <w:r>
        <w:t>(circa 1,3 Mrd. €) sowie eines operativen EBITDAs von circa 80 Mio. €. Die im Prognosebericht getroffenen Annahmen stehen unter dem Vorbehalt, dass es zu keiner zeitlich ausgedehnten militärischen Konfrontation im Nahen Osten, keiner langanhaltenden Unterb</w:t>
      </w:r>
      <w:r>
        <w:t>rechung der internationalen Handelswege, keiner dauerhaften Energiepreiskrise und zu keiner signifikanten Eintrübung des globalen Investitionsklimas kommt.</w:t>
      </w:r>
      <w:r>
        <w:br/>
      </w:r>
      <w:r>
        <w:br/>
        <w:t>„Die unterjährige Cashflow-Entwicklung zeigt, dass unsere Maßnahmen zur Optimierung des Net Working</w:t>
      </w:r>
      <w:r>
        <w:t xml:space="preserve"> Capital greifen“, untermauert Dr. Alexander Blum und ergänzt: „Der im zweiten Quartal erzielte positive Free Cashflow von knapp 17 Mio. € ist ein wichtiger Meilenstein. Zusammen mit unserem historisch starken Orderbuch verfügen wir über ein solides Fundam</w:t>
      </w:r>
      <w:r>
        <w:t xml:space="preserve">ent, um externe Marktwiderstände abzufedern.“ </w:t>
      </w:r>
    </w:p>
    <w:p w:rsidR="001B0031" w:rsidRDefault="00257FF2">
      <w:hyperlink r:id="rId7" w:history="1">
        <w:r w:rsidRPr="00257FF2">
          <w:rPr>
            <w:rStyle w:val="Hyperlink"/>
          </w:rPr>
          <w:t>Zahlen auf einen Blick</w:t>
        </w:r>
      </w:hyperlink>
    </w:p>
    <w:p w:rsidR="001B0031" w:rsidRDefault="00257FF2">
      <w:pPr>
        <w:pBdr>
          <w:top w:val="nil"/>
          <w:left w:val="nil"/>
          <w:bottom w:val="nil"/>
          <w:right w:val="nil"/>
          <w:between w:val="nil"/>
        </w:pBdr>
      </w:pPr>
      <w:r>
        <w:t xml:space="preserve">Der vollständige Zwischenbericht zum 1. Halbjahr 2026 steht auf der Website der Koenig &amp; Bauer AG als </w:t>
      </w:r>
      <w:hyperlink r:id="rId8" w:history="1">
        <w:r w:rsidRPr="00257FF2">
          <w:rPr>
            <w:rStyle w:val="Hyperlink"/>
          </w:rPr>
          <w:t>PDF-Download</w:t>
        </w:r>
      </w:hyperlink>
      <w:bookmarkStart w:id="4" w:name="_GoBack"/>
      <w:bookmarkEnd w:id="4"/>
      <w:r>
        <w:t xml:space="preserve"> zur Verfügung. </w:t>
      </w:r>
    </w:p>
    <w:p w:rsidR="001B0031" w:rsidRDefault="001B0031">
      <w:pPr>
        <w:pStyle w:val="berschrift5"/>
      </w:pPr>
      <w:bookmarkStart w:id="5" w:name="_ap7b4r9qhnl5" w:colFirst="0" w:colLast="0"/>
      <w:bookmarkEnd w:id="5"/>
    </w:p>
    <w:p w:rsidR="001B0031" w:rsidRDefault="00257FF2">
      <w:pPr>
        <w:pStyle w:val="berschrift5"/>
      </w:pPr>
      <w:bookmarkStart w:id="6" w:name="_2et92p0" w:colFirst="0" w:colLast="0"/>
      <w:bookmarkEnd w:id="6"/>
      <w:r>
        <w:t>Foto:</w:t>
      </w:r>
    </w:p>
    <w:p w:rsidR="001B0031" w:rsidRDefault="00257FF2">
      <w:pPr>
        <w:rPr>
          <w:sz w:val="22"/>
          <w:szCs w:val="22"/>
        </w:rPr>
      </w:pPr>
      <w:r>
        <w:rPr>
          <w:b/>
          <w:bCs/>
        </w:rPr>
        <w:t>Konsequente Umsetzung im Fokus:</w:t>
      </w:r>
      <w:r>
        <w:t xml:space="preserve"> Der strategische</w:t>
      </w:r>
      <w:r>
        <w:t xml:space="preserve"> Leitfaden „IMPACT“ treibt die Transformation bei Koenig &amp; Bauer aktiv voran. Das namensgebende Akronym bündelt die sechs zentralen Handlungsfelder als integrales System – Intelligence, Go-To-Market, People, Adaptability, Competitiveness und Technology –, </w:t>
      </w:r>
      <w:r>
        <w:t>um die operative Resilienz und die langfristige Wettbewerbsfähigkeit des Konzerns in einem volatilen Marktumfeld nachhaltig zu sichern. © Koenig &amp; Bauer</w:t>
      </w:r>
      <w:r>
        <w:br/>
      </w:r>
    </w:p>
    <w:p w:rsidR="001B0031" w:rsidRDefault="001B0031">
      <w:pPr>
        <w:pStyle w:val="berschrift4"/>
      </w:pPr>
      <w:bookmarkStart w:id="7" w:name="_onh4ymnleuxc" w:colFirst="0" w:colLast="0"/>
      <w:bookmarkEnd w:id="7"/>
    </w:p>
    <w:p w:rsidR="001B0031" w:rsidRDefault="00257FF2">
      <w:pPr>
        <w:pStyle w:val="berschrift4"/>
      </w:pPr>
      <w:bookmarkStart w:id="8" w:name="_c398knssqtt8" w:colFirst="0" w:colLast="0"/>
      <w:bookmarkEnd w:id="8"/>
      <w:r>
        <w:t>Ansprechpartnerin für Investor Relations</w:t>
      </w:r>
    </w:p>
    <w:p w:rsidR="001B0031" w:rsidRDefault="00257FF2">
      <w:r>
        <w:t>Koenig &amp; Bauer AG</w:t>
      </w:r>
      <w:r>
        <w:br/>
        <w:t>Lena Landenberger</w:t>
      </w:r>
      <w:r>
        <w:br/>
        <w:t>+49 931 909 4085</w:t>
      </w:r>
      <w:r>
        <w:br/>
      </w:r>
      <w:hyperlink r:id="rId9">
        <w:r>
          <w:rPr>
            <w:color w:val="1155CC"/>
            <w:u w:val="single"/>
          </w:rPr>
          <w:t>lena.landenberger@koenig-bauer.com</w:t>
        </w:r>
      </w:hyperlink>
    </w:p>
    <w:p w:rsidR="001B0031" w:rsidRDefault="00257FF2">
      <w:pPr>
        <w:pStyle w:val="berschrift4"/>
      </w:pPr>
      <w:bookmarkStart w:id="9" w:name="_7l1xfsqz2jq9" w:colFirst="0" w:colLast="0"/>
      <w:bookmarkEnd w:id="9"/>
      <w:r>
        <w:t>Ansprechpartner für Presse</w:t>
      </w:r>
    </w:p>
    <w:p w:rsidR="001B0031" w:rsidRDefault="00257FF2">
      <w:r>
        <w:t>Koenig &amp; Bauer AG</w:t>
      </w:r>
      <w:r>
        <w:br/>
        <w:t xml:space="preserve">Dr. André Jäger </w:t>
      </w:r>
      <w:r>
        <w:br/>
        <w:t>+49 931 909 4085</w:t>
      </w:r>
      <w:r>
        <w:br/>
      </w:r>
      <w:hyperlink r:id="rId10">
        <w:r>
          <w:rPr>
            <w:color w:val="1155CC"/>
            <w:u w:val="single"/>
          </w:rPr>
          <w:t>andre.jaeger@koenig-bauer.com</w:t>
        </w:r>
      </w:hyperlink>
    </w:p>
    <w:p w:rsidR="001B0031" w:rsidRDefault="001B0031"/>
    <w:p w:rsidR="001B0031" w:rsidRDefault="00257FF2">
      <w:pPr>
        <w:shd w:val="clear" w:color="auto" w:fill="FFFFFF"/>
        <w:spacing w:before="240" w:line="250" w:lineRule="auto"/>
      </w:pPr>
      <w:r>
        <w:t xml:space="preserve"> </w:t>
      </w:r>
    </w:p>
    <w:p w:rsidR="001B0031" w:rsidRDefault="00257FF2">
      <w:pPr>
        <w:pStyle w:val="berschrift4"/>
      </w:pPr>
      <w:bookmarkStart w:id="10" w:name="_1wxqedid8pv3" w:colFirst="0" w:colLast="0"/>
      <w:bookmarkEnd w:id="10"/>
      <w:r>
        <w:t>Über Koenig &amp; Bauer</w:t>
      </w:r>
    </w:p>
    <w:p w:rsidR="001B0031" w:rsidRDefault="00257FF2">
      <w:r>
        <w:t>Koenig &amp; Bauer mit Sitz in Würzburg (Deutschland) ist ein weltweit tätiger Druckmaschinenhersteller. Das Unternehmen produziert Maschinen und Software-Lösungen für den gesamten Prozess von Druck und Weit</w:t>
      </w:r>
      <w:r>
        <w:t>erverarbeitung, schwerpunktmäßig im Bereich der Verpackungen. Anlagen von Koenig &amp; Bauer können nahezu alle Substrate bedrucken – das Portfolio reicht von Banknoten über Karton-, Wellpappe-, Folien-, Blech- und Glasverpackungen bis hin zum Bücher-, Display</w:t>
      </w:r>
      <w:r>
        <w:t>-, Kennzeichnungs-, Dekor-, Magazin-, Werbe- und Zeitungsdruck. Mit einer über 200-jährigen Geschichte ist Koenig &amp; Bauer der älteste Druckmaschinenhersteller der Welt und beherrscht heute fast alle Druckverfahren. Im gesamten Konzern arbeiten rund 5.500 M</w:t>
      </w:r>
      <w:r>
        <w:t>enschen. Koenig &amp; Bauer produziert an elf Standorten in Europa und unterhält ein weltweites Vertriebs- und Servicenetzwerk. Der Konzernumsatz im Geschäftsjahr 2025 lag bei rund 1,3 Milliarden Euro.</w:t>
      </w:r>
    </w:p>
    <w:p w:rsidR="001B0031" w:rsidRDefault="00257FF2">
      <w:r>
        <w:t>Weitere Informationen unter</w:t>
      </w:r>
      <w:hyperlink r:id="rId11">
        <w:r>
          <w:rPr>
            <w:color w:val="1155CC"/>
            <w:u w:val="single"/>
          </w:rPr>
          <w:t xml:space="preserve"> www.koenig-bauer.com</w:t>
        </w:r>
      </w:hyperlink>
    </w:p>
    <w:p w:rsidR="001B0031" w:rsidRDefault="001B0031"/>
    <w:sectPr w:rsidR="001B0031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57FF2">
      <w:pPr>
        <w:spacing w:after="0" w:line="240" w:lineRule="auto"/>
      </w:pPr>
      <w:r>
        <w:separator/>
      </w:r>
    </w:p>
  </w:endnote>
  <w:endnote w:type="continuationSeparator" w:id="0">
    <w:p w:rsidR="00000000" w:rsidRDefault="00257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2F6CD0B-BCAF-4C25-B2C0-BF17DEFEA1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AE2A5BE-3A0A-46B5-966A-868787A794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031" w:rsidRDefault="00257FF2">
    <w:pPr>
      <w:rPr>
        <w:sz w:val="18"/>
        <w:szCs w:val="18"/>
      </w:rPr>
    </w:pPr>
    <w:r>
      <w:rPr>
        <w:sz w:val="12"/>
        <w:szCs w:val="12"/>
      </w:rPr>
      <w:t>Koenig &amp; Bauer mit starkem zweiten Quartal: Signifikanter Auftragszuwachs, deutliche unterjährige Ergebnisverbesserung und positiver Free Cashfl</w:t>
    </w:r>
    <w:r>
      <w:rPr>
        <w:sz w:val="12"/>
        <w:szCs w:val="12"/>
      </w:rPr>
      <w:t>ow</w:t>
    </w:r>
    <w:r>
      <w:rPr>
        <w:b/>
        <w:bCs/>
        <w:color w:val="002355"/>
        <w:sz w:val="38"/>
        <w:szCs w:val="38"/>
      </w:rPr>
      <w:t xml:space="preserve"> </w:t>
    </w:r>
    <w:r>
      <w:rPr>
        <w:sz w:val="12"/>
        <w:szCs w:val="12"/>
      </w:rPr>
      <w:t xml:space="preserve">                                 | </w:t>
    </w:r>
    <w:r>
      <w:rPr>
        <w:sz w:val="12"/>
        <w:szCs w:val="12"/>
      </w:rPr>
      <w:fldChar w:fldCharType="begin"/>
    </w:r>
    <w:r>
      <w:rPr>
        <w:sz w:val="12"/>
        <w:szCs w:val="12"/>
      </w:rPr>
      <w:instrText>PAGE</w:instrText>
    </w:r>
    <w:r>
      <w:rPr>
        <w:sz w:val="12"/>
        <w:szCs w:val="12"/>
      </w:rPr>
      <w:fldChar w:fldCharType="separate"/>
    </w:r>
    <w:r>
      <w:rPr>
        <w:noProof/>
        <w:sz w:val="12"/>
        <w:szCs w:val="12"/>
      </w:rPr>
      <w:t>1</w:t>
    </w:r>
    <w:r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57FF2">
      <w:pPr>
        <w:spacing w:after="0" w:line="240" w:lineRule="auto"/>
      </w:pPr>
      <w:r>
        <w:separator/>
      </w:r>
    </w:p>
  </w:footnote>
  <w:footnote w:type="continuationSeparator" w:id="0">
    <w:p w:rsidR="00000000" w:rsidRDefault="00257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031" w:rsidRDefault="00257FF2">
    <w:pPr>
      <w:jc w:val="center"/>
    </w:pPr>
    <w:r>
      <w:rPr>
        <w:noProof/>
        <w:lang w:val="de-DE"/>
      </w:rPr>
      <w:drawing>
        <wp:inline distT="114300" distB="114300" distL="114300" distR="114300">
          <wp:extent cx="2592000" cy="21846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2000" cy="2184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775C3"/>
    <w:multiLevelType w:val="multilevel"/>
    <w:tmpl w:val="076AE04A"/>
    <w:lvl w:ilvl="0">
      <w:start w:val="1"/>
      <w:numFmt w:val="bullet"/>
      <w:lvlText w:val="•"/>
      <w:lvlJc w:val="left"/>
      <w:pPr>
        <w:ind w:left="340" w:hanging="340"/>
      </w:pPr>
      <w:rPr>
        <w:u w:val="none"/>
      </w:rPr>
    </w:lvl>
    <w:lvl w:ilvl="1">
      <w:start w:val="1"/>
      <w:numFmt w:val="bullet"/>
      <w:lvlText w:val="•"/>
      <w:lvlJc w:val="left"/>
      <w:pPr>
        <w:ind w:left="680" w:hanging="340"/>
      </w:pPr>
      <w:rPr>
        <w:u w:val="none"/>
      </w:rPr>
    </w:lvl>
    <w:lvl w:ilvl="2">
      <w:start w:val="1"/>
      <w:numFmt w:val="bullet"/>
      <w:lvlText w:val="•"/>
      <w:lvlJc w:val="left"/>
      <w:pPr>
        <w:ind w:left="1020" w:hanging="340"/>
      </w:pPr>
      <w:rPr>
        <w:u w:val="none"/>
      </w:rPr>
    </w:lvl>
    <w:lvl w:ilvl="3">
      <w:start w:val="1"/>
      <w:numFmt w:val="bullet"/>
      <w:lvlText w:val="•"/>
      <w:lvlJc w:val="left"/>
      <w:pPr>
        <w:ind w:left="1360" w:hanging="340"/>
      </w:pPr>
      <w:rPr>
        <w:u w:val="none"/>
      </w:rPr>
    </w:lvl>
    <w:lvl w:ilvl="4">
      <w:start w:val="1"/>
      <w:numFmt w:val="bullet"/>
      <w:lvlText w:val="•"/>
      <w:lvlJc w:val="left"/>
      <w:pPr>
        <w:ind w:left="1700" w:hanging="340"/>
      </w:pPr>
      <w:rPr>
        <w:u w:val="none"/>
      </w:rPr>
    </w:lvl>
    <w:lvl w:ilvl="5">
      <w:start w:val="1"/>
      <w:numFmt w:val="bullet"/>
      <w:lvlText w:val="•"/>
      <w:lvlJc w:val="left"/>
      <w:pPr>
        <w:ind w:left="2040" w:hanging="340"/>
      </w:pPr>
      <w:rPr>
        <w:u w:val="none"/>
      </w:rPr>
    </w:lvl>
    <w:lvl w:ilvl="6">
      <w:start w:val="1"/>
      <w:numFmt w:val="bullet"/>
      <w:lvlText w:val="•"/>
      <w:lvlJc w:val="left"/>
      <w:pPr>
        <w:ind w:left="2380" w:hanging="340"/>
      </w:pPr>
      <w:rPr>
        <w:u w:val="none"/>
      </w:rPr>
    </w:lvl>
    <w:lvl w:ilvl="7">
      <w:start w:val="1"/>
      <w:numFmt w:val="bullet"/>
      <w:lvlText w:val="•"/>
      <w:lvlJc w:val="left"/>
      <w:pPr>
        <w:ind w:left="2720" w:hanging="340"/>
      </w:pPr>
      <w:rPr>
        <w:u w:val="none"/>
      </w:rPr>
    </w:lvl>
    <w:lvl w:ilvl="8">
      <w:start w:val="1"/>
      <w:numFmt w:val="bullet"/>
      <w:lvlText w:val="•"/>
      <w:lvlJc w:val="left"/>
      <w:pPr>
        <w:ind w:left="3060" w:hanging="34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31"/>
    <w:rsid w:val="001B0031"/>
    <w:rsid w:val="0025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15045B-B538-44B4-9828-9CB04E6B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de" w:eastAsia="de-DE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tabs>
        <w:tab w:val="left" w:pos="850"/>
      </w:tabs>
      <w:spacing w:before="480" w:line="240" w:lineRule="auto"/>
      <w:outlineLvl w:val="0"/>
    </w:pPr>
    <w:rPr>
      <w:b/>
      <w:bCs/>
      <w:color w:val="002355"/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outlineLvl w:val="1"/>
    </w:pPr>
    <w:rPr>
      <w:b/>
      <w:bCs/>
      <w:color w:val="002355"/>
      <w:sz w:val="28"/>
      <w:szCs w:val="28"/>
    </w:rPr>
  </w:style>
  <w:style w:type="paragraph" w:styleId="berschrift3">
    <w:name w:val="heading 3"/>
    <w:basedOn w:val="Standard"/>
    <w:next w:val="Standard"/>
    <w:pPr>
      <w:keepNext/>
      <w:keepLines/>
      <w:spacing w:after="0"/>
      <w:outlineLvl w:val="2"/>
    </w:pPr>
    <w:rPr>
      <w:b/>
      <w:bCs/>
      <w:color w:val="002355"/>
    </w:rPr>
  </w:style>
  <w:style w:type="paragraph" w:styleId="berschrift4">
    <w:name w:val="heading 4"/>
    <w:basedOn w:val="Standard"/>
    <w:next w:val="Standard"/>
    <w:pPr>
      <w:keepNext/>
      <w:keepLines/>
      <w:spacing w:after="0"/>
      <w:outlineLvl w:val="3"/>
    </w:pPr>
    <w:rPr>
      <w:b/>
      <w:bCs/>
    </w:rPr>
  </w:style>
  <w:style w:type="paragraph" w:styleId="berschrift5">
    <w:name w:val="heading 5"/>
    <w:basedOn w:val="Standard"/>
    <w:next w:val="Standard"/>
    <w:pPr>
      <w:keepNext/>
      <w:keepLines/>
      <w:spacing w:after="0"/>
      <w:outlineLvl w:val="4"/>
    </w:pPr>
    <w:rPr>
      <w:b/>
      <w:bCs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line="240" w:lineRule="auto"/>
    </w:pPr>
    <w:rPr>
      <w:color w:val="002355"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sid w:val="00257F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tors.koenig-bauer.com/fileadmin/user_upload/04_Unternehmen/Investor_Relations/Berichte/Berichte_2026_h1/26-08-06-ir-interim-report-h1-2026-de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vestors.koenig-bauer.com/fileadmin/user_upload/04_Unternehmen/Investor_Relations/Berichte/Berichte_2026_h1/26-08-06-ir-group-key-figures-h1-2026-de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enig-bauer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ndre.jaeger@koenig-baue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na.landenberger@koenig-bauer.com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1332</Words>
  <Characters>8397</Characters>
  <Application>Microsoft Office Word</Application>
  <DocSecurity>0</DocSecurity>
  <Lines>69</Lines>
  <Paragraphs>19</Paragraphs>
  <ScaleCrop>false</ScaleCrop>
  <Company>KOENIG &amp; BAUER AG</Company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Rügamer, René (ZFI)</cp:lastModifiedBy>
  <cp:revision>2</cp:revision>
  <dcterms:created xsi:type="dcterms:W3CDTF">2026-08-05T19:39:00Z</dcterms:created>
  <dcterms:modified xsi:type="dcterms:W3CDTF">2026-08-05T19:45:00Z</dcterms:modified>
</cp:coreProperties>
</file>