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0D2" w:rsidRPr="00077A8E" w:rsidRDefault="00E54DA7">
      <w:pPr>
        <w:pStyle w:val="Titel"/>
        <w:keepNext w:val="0"/>
        <w:keepLines w:val="0"/>
        <w:tabs>
          <w:tab w:val="left" w:pos="850"/>
        </w:tabs>
        <w:spacing w:before="840" w:after="600" w:line="240" w:lineRule="auto"/>
        <w:rPr>
          <w:b/>
          <w:bCs/>
          <w:color w:val="002355"/>
          <w:sz w:val="60"/>
          <w:szCs w:val="60"/>
          <w:lang w:val="en-US"/>
        </w:rPr>
      </w:pPr>
      <w:bookmarkStart w:id="0" w:name="_gjdgxs" w:colFirst="0" w:colLast="0"/>
      <w:bookmarkEnd w:id="0"/>
      <w:r w:rsidRPr="00077A8E">
        <w:rPr>
          <w:b/>
          <w:bCs/>
          <w:color w:val="002355"/>
          <w:sz w:val="60"/>
          <w:szCs w:val="60"/>
          <w:lang w:val="en-US"/>
        </w:rPr>
        <w:t>Press Release</w:t>
      </w:r>
    </w:p>
    <w:p w:rsidR="007C40D2" w:rsidRPr="00077A8E" w:rsidRDefault="00E54DA7">
      <w:pPr>
        <w:pStyle w:val="berschrift1"/>
        <w:spacing w:before="240"/>
        <w:rPr>
          <w:lang w:val="en-US"/>
        </w:rPr>
      </w:pPr>
      <w:bookmarkStart w:id="1" w:name="_8dc17rpedp3q" w:colFirst="0" w:colLast="0"/>
      <w:bookmarkEnd w:id="1"/>
      <w:r w:rsidRPr="00077A8E">
        <w:rPr>
          <w:lang w:val="en-US"/>
        </w:rPr>
        <w:t>Koenig &amp; Bauer with strong second quarter: Significant increase in order intake, clear intra-year earnings improvement and positive free cash flow</w:t>
      </w:r>
    </w:p>
    <w:p w:rsidR="007C40D2" w:rsidRPr="00077A8E" w:rsidRDefault="007C40D2">
      <w:pPr>
        <w:pStyle w:val="berschrift1"/>
        <w:spacing w:before="240"/>
        <w:rPr>
          <w:lang w:val="en-US"/>
        </w:rPr>
      </w:pPr>
      <w:bookmarkStart w:id="2" w:name="_lnyxcq7s6zb" w:colFirst="0" w:colLast="0"/>
      <w:bookmarkEnd w:id="2"/>
    </w:p>
    <w:p w:rsidR="007C40D2" w:rsidRPr="00077A8E" w:rsidRDefault="007C40D2">
      <w:pPr>
        <w:spacing w:after="0"/>
        <w:rPr>
          <w:lang w:val="en-US"/>
        </w:rPr>
      </w:pPr>
    </w:p>
    <w:p w:rsidR="007C40D2" w:rsidRPr="00077A8E" w:rsidRDefault="00E54DA7">
      <w:pPr>
        <w:numPr>
          <w:ilvl w:val="0"/>
          <w:numId w:val="1"/>
        </w:numPr>
        <w:shd w:val="clear" w:color="auto" w:fill="FFFFFF"/>
        <w:spacing w:after="0"/>
        <w:rPr>
          <w:color w:val="303030"/>
          <w:sz w:val="24"/>
          <w:szCs w:val="24"/>
          <w:lang w:val="en-US"/>
        </w:rPr>
      </w:pPr>
      <w:r w:rsidRPr="00077A8E">
        <w:rPr>
          <w:lang w:val="en-US"/>
        </w:rPr>
        <w:t>Highest H1 order intake for eight years: Significant increase of +16.9% to €709.3m; order backlog reaches new record high of €1,121.7m</w:t>
      </w:r>
    </w:p>
    <w:p w:rsidR="007C40D2" w:rsidRPr="00077A8E" w:rsidRDefault="00E54DA7">
      <w:pPr>
        <w:numPr>
          <w:ilvl w:val="0"/>
          <w:numId w:val="1"/>
        </w:numPr>
        <w:pBdr>
          <w:top w:val="nil"/>
          <w:left w:val="nil"/>
          <w:bottom w:val="nil"/>
          <w:right w:val="nil"/>
          <w:between w:val="nil"/>
        </w:pBdr>
        <w:shd w:val="clear" w:color="auto" w:fill="FFFFFF"/>
        <w:spacing w:after="0"/>
        <w:rPr>
          <w:color w:val="303030"/>
          <w:sz w:val="24"/>
          <w:szCs w:val="24"/>
          <w:lang w:val="en-US"/>
        </w:rPr>
      </w:pPr>
      <w:r w:rsidRPr="00077A8E">
        <w:rPr>
          <w:lang w:val="en-US"/>
        </w:rPr>
        <w:t>Group revenue increases slightly by +1.4% to €558.2m – strong book-to-bill ratio of 1.27 in the first half-year demonstra</w:t>
      </w:r>
      <w:r w:rsidRPr="00077A8E">
        <w:rPr>
          <w:lang w:val="en-US"/>
        </w:rPr>
        <w:t>tes high growth momentum</w:t>
      </w:r>
    </w:p>
    <w:p w:rsidR="007C40D2" w:rsidRPr="00077A8E" w:rsidRDefault="00E54DA7">
      <w:pPr>
        <w:numPr>
          <w:ilvl w:val="0"/>
          <w:numId w:val="1"/>
        </w:numPr>
        <w:pBdr>
          <w:top w:val="nil"/>
          <w:left w:val="nil"/>
          <w:bottom w:val="nil"/>
          <w:right w:val="nil"/>
          <w:between w:val="nil"/>
        </w:pBdr>
        <w:shd w:val="clear" w:color="auto" w:fill="FFFFFF"/>
        <w:spacing w:after="0"/>
        <w:rPr>
          <w:color w:val="303030"/>
          <w:sz w:val="24"/>
          <w:szCs w:val="24"/>
          <w:lang w:val="en-US"/>
        </w:rPr>
      </w:pPr>
      <w:r w:rsidRPr="00077A8E">
        <w:rPr>
          <w:lang w:val="en-US"/>
        </w:rPr>
        <w:t>Strong sequential earnings improvement in Q2-26 to operating EBITDA of €17.0m increases half-year earnings significantly by +20.5% to €14.1m</w:t>
      </w:r>
    </w:p>
    <w:p w:rsidR="007C40D2" w:rsidRPr="00077A8E" w:rsidRDefault="00E54DA7">
      <w:pPr>
        <w:numPr>
          <w:ilvl w:val="0"/>
          <w:numId w:val="1"/>
        </w:numPr>
        <w:pBdr>
          <w:top w:val="nil"/>
          <w:left w:val="nil"/>
          <w:bottom w:val="nil"/>
          <w:right w:val="nil"/>
          <w:between w:val="nil"/>
        </w:pBdr>
        <w:shd w:val="clear" w:color="auto" w:fill="FFFFFF"/>
        <w:spacing w:after="0"/>
        <w:rPr>
          <w:color w:val="303030"/>
          <w:sz w:val="24"/>
          <w:szCs w:val="24"/>
          <w:lang w:val="en-US"/>
        </w:rPr>
      </w:pPr>
      <w:r w:rsidRPr="00077A8E">
        <w:rPr>
          <w:lang w:val="en-US"/>
        </w:rPr>
        <w:t>Positive free cash flow of +€16.8m in Q2-26 – significant increase over prior year (-€55.3</w:t>
      </w:r>
      <w:r w:rsidRPr="00077A8E">
        <w:rPr>
          <w:lang w:val="en-US"/>
        </w:rPr>
        <w:t>m); H1 NWC ratio at 21.4% well below target figure</w:t>
      </w:r>
    </w:p>
    <w:p w:rsidR="007C40D2" w:rsidRPr="00077A8E" w:rsidRDefault="00E54DA7">
      <w:pPr>
        <w:numPr>
          <w:ilvl w:val="0"/>
          <w:numId w:val="1"/>
        </w:numPr>
        <w:pBdr>
          <w:top w:val="nil"/>
          <w:left w:val="nil"/>
          <w:bottom w:val="nil"/>
          <w:right w:val="nil"/>
          <w:between w:val="nil"/>
        </w:pBdr>
        <w:shd w:val="clear" w:color="auto" w:fill="FFFFFF"/>
        <w:spacing w:after="0"/>
        <w:rPr>
          <w:color w:val="303030"/>
          <w:sz w:val="24"/>
          <w:szCs w:val="24"/>
          <w:lang w:val="en-US"/>
        </w:rPr>
      </w:pPr>
      <w:r w:rsidRPr="00077A8E">
        <w:rPr>
          <w:lang w:val="en-US"/>
        </w:rPr>
        <w:t xml:space="preserve">Both segments drive the recovery in Q2-26, with S&amp;T achieving strong operating EBITDA of €11.8m in the half-year and P&amp;P returning to profitability in Q2-26 at +€6.8m </w:t>
      </w:r>
    </w:p>
    <w:p w:rsidR="007C40D2" w:rsidRPr="00077A8E" w:rsidRDefault="00E54DA7">
      <w:pPr>
        <w:numPr>
          <w:ilvl w:val="0"/>
          <w:numId w:val="1"/>
        </w:numPr>
        <w:pBdr>
          <w:top w:val="nil"/>
          <w:left w:val="nil"/>
          <w:bottom w:val="nil"/>
          <w:right w:val="nil"/>
          <w:between w:val="nil"/>
        </w:pBdr>
        <w:shd w:val="clear" w:color="auto" w:fill="FFFFFF"/>
        <w:spacing w:after="0"/>
        <w:rPr>
          <w:color w:val="303030"/>
          <w:sz w:val="24"/>
          <w:szCs w:val="24"/>
          <w:lang w:val="en-US"/>
        </w:rPr>
      </w:pPr>
      <w:r w:rsidRPr="00077A8E">
        <w:rPr>
          <w:lang w:val="en-US"/>
        </w:rPr>
        <w:t>To safeguard earnings power in the P&amp;</w:t>
      </w:r>
      <w:r w:rsidRPr="00077A8E">
        <w:rPr>
          <w:lang w:val="en-US"/>
        </w:rPr>
        <w:t>P segment, a proportionate price adjustment of +3% was implemented on 1 July 2026, compensating for effects exceeding targeted cost reduction measures aga</w:t>
      </w:r>
      <w:r>
        <w:rPr>
          <w:lang w:val="en-US"/>
        </w:rPr>
        <w:t>inst geopolitical cost pressure</w:t>
      </w:r>
      <w:bookmarkStart w:id="3" w:name="_GoBack"/>
      <w:bookmarkEnd w:id="3"/>
    </w:p>
    <w:p w:rsidR="007C40D2" w:rsidRPr="00077A8E" w:rsidRDefault="00E54DA7">
      <w:pPr>
        <w:numPr>
          <w:ilvl w:val="0"/>
          <w:numId w:val="1"/>
        </w:numPr>
        <w:pBdr>
          <w:top w:val="nil"/>
          <w:left w:val="nil"/>
          <w:bottom w:val="nil"/>
          <w:right w:val="nil"/>
          <w:between w:val="nil"/>
        </w:pBdr>
        <w:shd w:val="clear" w:color="auto" w:fill="FFFFFF"/>
        <w:spacing w:after="180"/>
        <w:rPr>
          <w:color w:val="303030"/>
          <w:sz w:val="24"/>
          <w:szCs w:val="24"/>
          <w:lang w:val="en-US"/>
        </w:rPr>
      </w:pPr>
      <w:r w:rsidRPr="00077A8E">
        <w:rPr>
          <w:lang w:val="en-US"/>
        </w:rPr>
        <w:t xml:space="preserve">Outlook for 2026 confirmed: Stable Group revenue at prior-year level </w:t>
      </w:r>
      <w:r w:rsidRPr="00077A8E">
        <w:rPr>
          <w:lang w:val="en-US"/>
        </w:rPr>
        <w:t>(~€1.3bn) and operating EBITDA of approximately €80m forecast</w:t>
      </w:r>
    </w:p>
    <w:p w:rsidR="007C40D2" w:rsidRPr="00077A8E" w:rsidRDefault="007C40D2">
      <w:pPr>
        <w:pStyle w:val="berschrift3"/>
        <w:rPr>
          <w:color w:val="000000"/>
          <w:sz w:val="40"/>
          <w:szCs w:val="40"/>
          <w:lang w:val="en-US"/>
        </w:rPr>
      </w:pPr>
      <w:bookmarkStart w:id="4" w:name="_3znysh7" w:colFirst="0" w:colLast="0"/>
      <w:bookmarkEnd w:id="4"/>
    </w:p>
    <w:p w:rsidR="007C40D2" w:rsidRPr="00077A8E" w:rsidRDefault="00E54DA7">
      <w:pPr>
        <w:pBdr>
          <w:top w:val="nil"/>
          <w:left w:val="nil"/>
          <w:bottom w:val="nil"/>
          <w:right w:val="nil"/>
          <w:between w:val="nil"/>
        </w:pBdr>
        <w:rPr>
          <w:highlight w:val="white"/>
          <w:lang w:val="en-US"/>
        </w:rPr>
      </w:pPr>
      <w:r w:rsidRPr="00077A8E">
        <w:rPr>
          <w:highlight w:val="white"/>
          <w:lang w:val="en-US"/>
        </w:rPr>
        <w:t>Würzburg, 06.08.2026</w:t>
      </w:r>
      <w:r w:rsidRPr="00077A8E">
        <w:rPr>
          <w:highlight w:val="white"/>
          <w:lang w:val="en-US"/>
        </w:rPr>
        <w:br/>
      </w:r>
      <w:r w:rsidRPr="00077A8E">
        <w:rPr>
          <w:highlight w:val="white"/>
          <w:lang w:val="en-US"/>
        </w:rPr>
        <w:t>Koenig &amp; Bauer AG recorded a significant improvement in operating earnings in the second quarter of 2026. A massive increase in order intake, the successful operational turnaround of both segments over the course of the quarter and a significant improvemen</w:t>
      </w:r>
      <w:r w:rsidRPr="00077A8E">
        <w:rPr>
          <w:highlight w:val="white"/>
          <w:lang w:val="en-US"/>
        </w:rPr>
        <w:t>t in cash generation demonstrate the high resilience and earnings power of the technology group in a challenging market environment.</w:t>
      </w:r>
      <w:r w:rsidRPr="00077A8E">
        <w:rPr>
          <w:highlight w:val="white"/>
          <w:lang w:val="en-US"/>
        </w:rPr>
        <w:br/>
      </w:r>
      <w:r w:rsidRPr="00077A8E">
        <w:rPr>
          <w:highlight w:val="white"/>
          <w:lang w:val="en-US"/>
        </w:rPr>
        <w:br/>
      </w:r>
      <w:r w:rsidRPr="00077A8E">
        <w:rPr>
          <w:lang w:val="en-US"/>
        </w:rPr>
        <w:t>"The significant growth in order intake of almost 17% in the first half of the year confirms the traction of our go-to-mar</w:t>
      </w:r>
      <w:r w:rsidRPr="00077A8E">
        <w:rPr>
          <w:lang w:val="en-US"/>
        </w:rPr>
        <w:t>ket strategy," explains Chief Executive Officer Dr Stephen Kimmich. "With targeted innovations, we are noticeably strengthening our position in our core business. This momentum gives us the scope to continue systematically expanding our competitiveness. Th</w:t>
      </w:r>
      <w:r w:rsidRPr="00077A8E">
        <w:rPr>
          <w:lang w:val="en-US"/>
        </w:rPr>
        <w:t xml:space="preserve">e </w:t>
      </w:r>
      <w:proofErr w:type="spellStart"/>
      <w:r w:rsidRPr="00077A8E">
        <w:rPr>
          <w:lang w:val="en-US"/>
        </w:rPr>
        <w:t>optimisation</w:t>
      </w:r>
      <w:proofErr w:type="spellEnd"/>
      <w:r w:rsidRPr="00077A8E">
        <w:rPr>
          <w:lang w:val="en-US"/>
        </w:rPr>
        <w:t xml:space="preserve"> of our structural </w:t>
      </w:r>
      <w:r w:rsidRPr="00077A8E">
        <w:rPr>
          <w:lang w:val="en-US"/>
        </w:rPr>
        <w:lastRenderedPageBreak/>
        <w:t>costs remains a key lever for increasing our resilience and sustainably strengthening the foundation for profitable growth."</w:t>
      </w:r>
    </w:p>
    <w:p w:rsidR="007C40D2" w:rsidRPr="00077A8E" w:rsidRDefault="00E54DA7">
      <w:pPr>
        <w:pBdr>
          <w:top w:val="nil"/>
          <w:left w:val="nil"/>
          <w:bottom w:val="nil"/>
          <w:right w:val="nil"/>
          <w:between w:val="nil"/>
        </w:pBdr>
        <w:rPr>
          <w:highlight w:val="white"/>
          <w:lang w:val="en-US"/>
        </w:rPr>
      </w:pPr>
      <w:r w:rsidRPr="00077A8E">
        <w:rPr>
          <w:b/>
          <w:bCs/>
          <w:color w:val="002355"/>
          <w:lang w:val="en-US"/>
        </w:rPr>
        <w:t>Business performance H1/Q2-26: Strong order growth, significant earnings improvement, revenue grow</w:t>
      </w:r>
      <w:r w:rsidRPr="00077A8E">
        <w:rPr>
          <w:b/>
          <w:bCs/>
          <w:color w:val="002355"/>
          <w:lang w:val="en-US"/>
        </w:rPr>
        <w:t xml:space="preserve">th and positive cash flow </w:t>
      </w:r>
      <w:r w:rsidRPr="00077A8E">
        <w:rPr>
          <w:b/>
          <w:bCs/>
          <w:color w:val="002355"/>
          <w:lang w:val="en-US"/>
        </w:rPr>
        <w:br/>
      </w:r>
      <w:r w:rsidRPr="00077A8E">
        <w:rPr>
          <w:highlight w:val="white"/>
          <w:lang w:val="en-US"/>
        </w:rPr>
        <w:t>Group revenue rose slightly by +1.4% to €558.2m in the first half-year (previous year: €550.4m). A strong book-to-bill ratio of 1.27 (previous year: 1.10) demonstrates high operational growth momentum. Group order intake increase</w:t>
      </w:r>
      <w:r w:rsidRPr="00077A8E">
        <w:rPr>
          <w:highlight w:val="white"/>
          <w:lang w:val="en-US"/>
        </w:rPr>
        <w:t xml:space="preserve">d significantly by +16.9% to €709.3m (previous year: €606.9m), driven by a further acceleration in demand in the second quarter to €411.7m. The order backlog remains at a new record high in recent corporate history at €1,121.7m (previous year: €1,096.3m), </w:t>
      </w:r>
      <w:r w:rsidRPr="00077A8E">
        <w:rPr>
          <w:highlight w:val="white"/>
          <w:lang w:val="en-US"/>
        </w:rPr>
        <w:t>providing a reliable foundation for further business performance.</w:t>
      </w:r>
    </w:p>
    <w:p w:rsidR="007C40D2" w:rsidRPr="00077A8E" w:rsidRDefault="00E54DA7">
      <w:pPr>
        <w:pBdr>
          <w:top w:val="nil"/>
          <w:left w:val="nil"/>
          <w:bottom w:val="nil"/>
          <w:right w:val="nil"/>
          <w:between w:val="nil"/>
        </w:pBdr>
        <w:spacing w:before="240"/>
        <w:rPr>
          <w:highlight w:val="white"/>
          <w:lang w:val="en-US"/>
        </w:rPr>
      </w:pPr>
      <w:r w:rsidRPr="00077A8E">
        <w:rPr>
          <w:highlight w:val="white"/>
          <w:lang w:val="en-US"/>
        </w:rPr>
        <w:t xml:space="preserve">Operating EBITDA improved significantly in the half-year comparison by +20.5% to €14.1m (previous year: €11.7m), driven primarily by strong earnings momentum in the second quarter, in which </w:t>
      </w:r>
      <w:r w:rsidRPr="00077A8E">
        <w:rPr>
          <w:highlight w:val="white"/>
          <w:lang w:val="en-US"/>
        </w:rPr>
        <w:t>the Group generated operating EBITDA of €17.0m. EBITDA of €7.4m (previous year: €7.5m) includes scheduled non-operating extraordinary items of €6.7m for the closure of operations at Albert-</w:t>
      </w:r>
      <w:proofErr w:type="spellStart"/>
      <w:r w:rsidRPr="00077A8E">
        <w:rPr>
          <w:highlight w:val="white"/>
          <w:lang w:val="en-US"/>
        </w:rPr>
        <w:t>Frankenthal</w:t>
      </w:r>
      <w:proofErr w:type="spellEnd"/>
      <w:r w:rsidRPr="00077A8E">
        <w:rPr>
          <w:highlight w:val="white"/>
          <w:lang w:val="en-US"/>
        </w:rPr>
        <w:t xml:space="preserve"> GmbH.</w:t>
      </w:r>
    </w:p>
    <w:p w:rsidR="007C40D2" w:rsidRPr="00077A8E" w:rsidRDefault="00E54DA7">
      <w:pPr>
        <w:pBdr>
          <w:top w:val="nil"/>
          <w:left w:val="nil"/>
          <w:bottom w:val="nil"/>
          <w:right w:val="nil"/>
          <w:between w:val="nil"/>
        </w:pBdr>
        <w:spacing w:before="240"/>
        <w:rPr>
          <w:highlight w:val="white"/>
          <w:lang w:val="en-US"/>
        </w:rPr>
      </w:pPr>
      <w:r w:rsidRPr="00077A8E">
        <w:rPr>
          <w:highlight w:val="white"/>
          <w:lang w:val="en-US"/>
        </w:rPr>
        <w:t>A central aspect of Group management remains cash</w:t>
      </w:r>
      <w:r w:rsidRPr="00077A8E">
        <w:rPr>
          <w:highlight w:val="white"/>
          <w:lang w:val="en-US"/>
        </w:rPr>
        <w:t xml:space="preserve"> generation: in the second quarter, an important milestone </w:t>
      </w:r>
      <w:proofErr w:type="gramStart"/>
      <w:r w:rsidRPr="00077A8E">
        <w:rPr>
          <w:highlight w:val="white"/>
          <w:lang w:val="en-US"/>
        </w:rPr>
        <w:t>was achieved</w:t>
      </w:r>
      <w:proofErr w:type="gramEnd"/>
      <w:r w:rsidRPr="00077A8E">
        <w:rPr>
          <w:highlight w:val="white"/>
          <w:lang w:val="en-US"/>
        </w:rPr>
        <w:t xml:space="preserve"> with a positive free cash flow of +€16.8m, improving the half-year figure significantly year-on-year by +€62.7m to -€21.0m. Active management ensured that Net Working Capital (NWC) </w:t>
      </w:r>
      <w:proofErr w:type="gramStart"/>
      <w:r w:rsidRPr="00077A8E">
        <w:rPr>
          <w:highlight w:val="white"/>
          <w:lang w:val="en-US"/>
        </w:rPr>
        <w:t>was</w:t>
      </w:r>
      <w:r w:rsidRPr="00077A8E">
        <w:rPr>
          <w:highlight w:val="white"/>
          <w:lang w:val="en-US"/>
        </w:rPr>
        <w:t xml:space="preserve"> kept</w:t>
      </w:r>
      <w:proofErr w:type="gramEnd"/>
      <w:r w:rsidRPr="00077A8E">
        <w:rPr>
          <w:highlight w:val="white"/>
          <w:lang w:val="en-US"/>
        </w:rPr>
        <w:t xml:space="preserve"> well below the target figure of a maximum of 25% of Group revenue, with a ratio of 21.4%.</w:t>
      </w:r>
    </w:p>
    <w:p w:rsidR="007C40D2" w:rsidRPr="00077A8E" w:rsidRDefault="00E54DA7">
      <w:pPr>
        <w:pBdr>
          <w:top w:val="nil"/>
          <w:left w:val="nil"/>
          <w:bottom w:val="nil"/>
          <w:right w:val="nil"/>
          <w:between w:val="nil"/>
        </w:pBdr>
        <w:spacing w:before="240"/>
        <w:rPr>
          <w:lang w:val="en-US"/>
        </w:rPr>
      </w:pPr>
      <w:r w:rsidRPr="00077A8E">
        <w:rPr>
          <w:b/>
          <w:bCs/>
          <w:color w:val="002355"/>
          <w:lang w:val="en-US"/>
        </w:rPr>
        <w:t xml:space="preserve">Joint operational turnaround in the segments </w:t>
      </w:r>
      <w:r w:rsidRPr="00077A8E">
        <w:rPr>
          <w:b/>
          <w:bCs/>
          <w:color w:val="002355"/>
          <w:lang w:val="en-US"/>
        </w:rPr>
        <w:br/>
      </w:r>
      <w:r w:rsidRPr="00077A8E">
        <w:rPr>
          <w:lang w:val="en-US"/>
        </w:rPr>
        <w:t>The operational development of the two Group segments in the half-year was supported by joint positive momentum in</w:t>
      </w:r>
      <w:r w:rsidRPr="00077A8E">
        <w:rPr>
          <w:lang w:val="en-US"/>
        </w:rPr>
        <w:t xml:space="preserve"> the second quarter: in the </w:t>
      </w:r>
      <w:r w:rsidRPr="00077A8E">
        <w:rPr>
          <w:b/>
          <w:bCs/>
          <w:lang w:val="en-US"/>
        </w:rPr>
        <w:t>Paper &amp; Packaging Sheetfed Systems (P&amp;P) segment</w:t>
      </w:r>
      <w:r w:rsidRPr="00077A8E">
        <w:rPr>
          <w:lang w:val="en-US"/>
        </w:rPr>
        <w:t>, Koenig &amp; Bauer recorded strong order intake of €398.5m (previous year: €350.4m; +13.7%), of which €204.2m was attributable to the second quarter. Revenue stood slightly below the</w:t>
      </w:r>
      <w:r w:rsidRPr="00077A8E">
        <w:rPr>
          <w:lang w:val="en-US"/>
        </w:rPr>
        <w:t xml:space="preserve"> prior year at €299.3m (previous year: €308.9m; -3.1%) due to the lower order level from 2025, but already showed a noticeable recovery in the second quarter at €165.9m. Operating EBITDA reflected this revenue recovery: following a subdued start to the yea</w:t>
      </w:r>
      <w:r w:rsidRPr="00077A8E">
        <w:rPr>
          <w:lang w:val="en-US"/>
        </w:rPr>
        <w:t xml:space="preserve">r of -€8.4m in the first quarter,  strong operating EBITDA of +€6.8m was again achieved in the second quarter (H1: -€1.6m). To safeguard earnings power in the P&amp;P segment, a proportionate price adjustment of +3% </w:t>
      </w:r>
      <w:proofErr w:type="gramStart"/>
      <w:r w:rsidRPr="00077A8E">
        <w:rPr>
          <w:lang w:val="en-US"/>
        </w:rPr>
        <w:t>was implemented</w:t>
      </w:r>
      <w:proofErr w:type="gramEnd"/>
      <w:r w:rsidRPr="00077A8E">
        <w:rPr>
          <w:lang w:val="en-US"/>
        </w:rPr>
        <w:t xml:space="preserve"> on 1 July 2026, compensating</w:t>
      </w:r>
      <w:r w:rsidRPr="00077A8E">
        <w:rPr>
          <w:lang w:val="en-US"/>
        </w:rPr>
        <w:t xml:space="preserve"> for effects exceeding targeted cost reduction measures against geopolitical cost pressure.</w:t>
      </w:r>
    </w:p>
    <w:p w:rsidR="007C40D2" w:rsidRPr="00077A8E" w:rsidRDefault="00E54DA7">
      <w:pPr>
        <w:shd w:val="clear" w:color="auto" w:fill="FFFFFF"/>
        <w:spacing w:before="220" w:after="220"/>
        <w:rPr>
          <w:lang w:val="en-US"/>
        </w:rPr>
      </w:pPr>
      <w:r w:rsidRPr="00077A8E">
        <w:rPr>
          <w:lang w:val="en-US"/>
        </w:rPr>
        <w:t xml:space="preserve">In the </w:t>
      </w:r>
      <w:r w:rsidRPr="00077A8E">
        <w:rPr>
          <w:b/>
          <w:bCs/>
          <w:lang w:val="en-US"/>
        </w:rPr>
        <w:t>Special &amp; New Technologies (S&amp;T) segment</w:t>
      </w:r>
      <w:r w:rsidRPr="00077A8E">
        <w:rPr>
          <w:lang w:val="en-US"/>
        </w:rPr>
        <w:t>, a successful H1 turnaround was achieved with operating EBITDA of €11.8m (previous year: -€4.0m), driven by strong s</w:t>
      </w:r>
      <w:r w:rsidRPr="00077A8E">
        <w:rPr>
          <w:lang w:val="en-US"/>
        </w:rPr>
        <w:t>equential earnings momentum in the second quarter (€7.7m following €4.1m in the first quarter). Revenue rose by +5.2% to €269.9m (previous year: €256.6m), underpinned by performance progress on large-scale projects, particularly in North America. Order int</w:t>
      </w:r>
      <w:r w:rsidRPr="00077A8E">
        <w:rPr>
          <w:lang w:val="en-US"/>
        </w:rPr>
        <w:t xml:space="preserve">ake recorded a substantial increase of +22.1% to €329.0m (previous year: €269.4m), mainly driven by strong project business at Banknote Solutions in Africa and Latin America, </w:t>
      </w:r>
      <w:proofErr w:type="gramStart"/>
      <w:r w:rsidRPr="00077A8E">
        <w:rPr>
          <w:lang w:val="en-US"/>
        </w:rPr>
        <w:t>which</w:t>
      </w:r>
      <w:proofErr w:type="gramEnd"/>
      <w:r w:rsidRPr="00077A8E">
        <w:rPr>
          <w:lang w:val="en-US"/>
        </w:rPr>
        <w:t xml:space="preserve"> led to a significant increase in the second quarter to €214.3m.</w:t>
      </w:r>
    </w:p>
    <w:p w:rsidR="007C40D2" w:rsidRPr="00077A8E" w:rsidRDefault="00E54DA7">
      <w:pPr>
        <w:spacing w:before="240"/>
        <w:rPr>
          <w:lang w:val="en-US"/>
        </w:rPr>
      </w:pPr>
      <w:r w:rsidRPr="00077A8E">
        <w:rPr>
          <w:lang w:val="en-US"/>
        </w:rPr>
        <w:t>"Anyone who</w:t>
      </w:r>
      <w:r w:rsidRPr="00077A8E">
        <w:rPr>
          <w:lang w:val="en-US"/>
        </w:rPr>
        <w:t xml:space="preserve"> predicted the end of cash is being caught up with by reality," comments Dr Kimmich, </w:t>
      </w:r>
      <w:proofErr w:type="gramStart"/>
      <w:r w:rsidRPr="00077A8E">
        <w:rPr>
          <w:lang w:val="en-US"/>
        </w:rPr>
        <w:t>adding:</w:t>
      </w:r>
      <w:proofErr w:type="gramEnd"/>
      <w:r w:rsidRPr="00077A8E">
        <w:rPr>
          <w:lang w:val="en-US"/>
        </w:rPr>
        <w:t xml:space="preserve"> "Cash is and remains an indispensable store of value and our most reliable safety net in times of crisis or cyberattacks. The fact that even pioneers such as Swede</w:t>
      </w:r>
      <w:r w:rsidRPr="00077A8E">
        <w:rPr>
          <w:lang w:val="en-US"/>
        </w:rPr>
        <w:t xml:space="preserve">n are now obliging retailers to accept cash again speaks volumes. For us, this is clear proof: our highly </w:t>
      </w:r>
      <w:proofErr w:type="spellStart"/>
      <w:r w:rsidRPr="00077A8E">
        <w:rPr>
          <w:lang w:val="en-US"/>
        </w:rPr>
        <w:t>specialised</w:t>
      </w:r>
      <w:proofErr w:type="spellEnd"/>
      <w:r w:rsidRPr="00077A8E">
        <w:rPr>
          <w:lang w:val="en-US"/>
        </w:rPr>
        <w:t xml:space="preserve"> technologies are more relevant today than ever."</w:t>
      </w:r>
    </w:p>
    <w:p w:rsidR="007C40D2" w:rsidRPr="00077A8E" w:rsidRDefault="007C40D2">
      <w:pPr>
        <w:pBdr>
          <w:top w:val="nil"/>
          <w:left w:val="nil"/>
          <w:bottom w:val="nil"/>
          <w:right w:val="nil"/>
          <w:between w:val="nil"/>
        </w:pBdr>
        <w:spacing w:before="240"/>
        <w:rPr>
          <w:lang w:val="en-US"/>
        </w:rPr>
      </w:pPr>
    </w:p>
    <w:p w:rsidR="007C40D2" w:rsidRPr="00077A8E" w:rsidRDefault="00E54DA7">
      <w:pPr>
        <w:pBdr>
          <w:top w:val="nil"/>
          <w:left w:val="nil"/>
          <w:bottom w:val="nil"/>
          <w:right w:val="nil"/>
          <w:between w:val="nil"/>
        </w:pBdr>
        <w:spacing w:before="240"/>
        <w:rPr>
          <w:lang w:val="en-US"/>
        </w:rPr>
      </w:pPr>
      <w:r w:rsidRPr="00077A8E">
        <w:rPr>
          <w:b/>
          <w:bCs/>
          <w:color w:val="002355"/>
          <w:lang w:val="en-US"/>
        </w:rPr>
        <w:t>Outlook for 2026: Stable business performance and confirmation of guidance</w:t>
      </w:r>
      <w:r w:rsidRPr="00077A8E">
        <w:rPr>
          <w:sz w:val="22"/>
          <w:szCs w:val="22"/>
          <w:lang w:val="en-US"/>
        </w:rPr>
        <w:br/>
      </w:r>
      <w:proofErr w:type="gramStart"/>
      <w:r w:rsidRPr="00077A8E">
        <w:rPr>
          <w:highlight w:val="white"/>
          <w:lang w:val="en-US"/>
        </w:rPr>
        <w:t>For</w:t>
      </w:r>
      <w:proofErr w:type="gramEnd"/>
      <w:r w:rsidRPr="00077A8E">
        <w:rPr>
          <w:highlight w:val="white"/>
          <w:lang w:val="en-US"/>
        </w:rPr>
        <w:t xml:space="preserve"> the 2026 </w:t>
      </w:r>
      <w:r w:rsidRPr="00077A8E">
        <w:rPr>
          <w:highlight w:val="white"/>
          <w:lang w:val="en-US"/>
        </w:rPr>
        <w:t xml:space="preserve">financial year, Koenig &amp; Bauer expects a continuation of operational stability. </w:t>
      </w:r>
      <w:proofErr w:type="gramStart"/>
      <w:r w:rsidRPr="00077A8E">
        <w:rPr>
          <w:highlight w:val="white"/>
          <w:lang w:val="en-US"/>
        </w:rPr>
        <w:t>Provided that</w:t>
      </w:r>
      <w:proofErr w:type="gramEnd"/>
      <w:r w:rsidRPr="00077A8E">
        <w:rPr>
          <w:highlight w:val="white"/>
          <w:lang w:val="en-US"/>
        </w:rPr>
        <w:t xml:space="preserve"> underlying conditions remain stable, the company confirms its forecast of Group revenue at the prior-year level (approximately €1.3bn) and operating EBITDA of app</w:t>
      </w:r>
      <w:r w:rsidRPr="00077A8E">
        <w:rPr>
          <w:highlight w:val="white"/>
          <w:lang w:val="en-US"/>
        </w:rPr>
        <w:t>roximately €80m. The assumptions made in the forecast report are subject to the proviso that there is no prolonged military confrontation in the Middle East, no long-lasting disruption of international trade routes, no permanent energy price crisis, and no</w:t>
      </w:r>
      <w:r w:rsidRPr="00077A8E">
        <w:rPr>
          <w:highlight w:val="white"/>
          <w:lang w:val="en-US"/>
        </w:rPr>
        <w:t xml:space="preserve"> significant deterioration in the global investment climate.</w:t>
      </w:r>
      <w:r w:rsidRPr="00077A8E">
        <w:rPr>
          <w:lang w:val="en-US"/>
        </w:rPr>
        <w:br/>
      </w:r>
      <w:r w:rsidRPr="00077A8E">
        <w:rPr>
          <w:lang w:val="en-US"/>
        </w:rPr>
        <w:br/>
        <w:t xml:space="preserve">"The intra-year cash flow performance shows that our measures to </w:t>
      </w:r>
      <w:proofErr w:type="spellStart"/>
      <w:r w:rsidRPr="00077A8E">
        <w:rPr>
          <w:lang w:val="en-US"/>
        </w:rPr>
        <w:t>optimise</w:t>
      </w:r>
      <w:proofErr w:type="spellEnd"/>
      <w:r w:rsidRPr="00077A8E">
        <w:rPr>
          <w:lang w:val="en-US"/>
        </w:rPr>
        <w:t xml:space="preserve"> net working capital are taking effect," </w:t>
      </w:r>
      <w:proofErr w:type="spellStart"/>
      <w:r w:rsidRPr="00077A8E">
        <w:rPr>
          <w:lang w:val="en-US"/>
        </w:rPr>
        <w:t>emphasises</w:t>
      </w:r>
      <w:proofErr w:type="spellEnd"/>
      <w:r w:rsidRPr="00077A8E">
        <w:rPr>
          <w:lang w:val="en-US"/>
        </w:rPr>
        <w:t xml:space="preserve"> Dr Alexander Blum, </w:t>
      </w:r>
      <w:proofErr w:type="gramStart"/>
      <w:r w:rsidRPr="00077A8E">
        <w:rPr>
          <w:lang w:val="en-US"/>
        </w:rPr>
        <w:t>adding:</w:t>
      </w:r>
      <w:proofErr w:type="gramEnd"/>
      <w:r w:rsidRPr="00077A8E">
        <w:rPr>
          <w:lang w:val="en-US"/>
        </w:rPr>
        <w:t xml:space="preserve"> "The positive free cash flow of almost €17</w:t>
      </w:r>
      <w:r w:rsidRPr="00077A8E">
        <w:rPr>
          <w:lang w:val="en-US"/>
        </w:rPr>
        <w:t>m achieved in the second quarter is an important milestone. Together with our historically strong order book, we have a solid foundation to cushion external market headwinds.”</w:t>
      </w:r>
    </w:p>
    <w:p w:rsidR="007C40D2" w:rsidRPr="00077A8E" w:rsidRDefault="00077A8E">
      <w:pPr>
        <w:pBdr>
          <w:top w:val="nil"/>
          <w:left w:val="nil"/>
          <w:bottom w:val="nil"/>
          <w:right w:val="nil"/>
          <w:between w:val="nil"/>
        </w:pBdr>
        <w:spacing w:before="240"/>
        <w:rPr>
          <w:lang w:val="en-US"/>
        </w:rPr>
      </w:pPr>
      <w:hyperlink r:id="rId7" w:history="1">
        <w:r w:rsidR="00E54DA7" w:rsidRPr="00077A8E">
          <w:rPr>
            <w:rStyle w:val="Hyperlink"/>
            <w:lang w:val="en-US"/>
          </w:rPr>
          <w:t>Figures at a glance</w:t>
        </w:r>
      </w:hyperlink>
    </w:p>
    <w:p w:rsidR="007C40D2" w:rsidRPr="00077A8E" w:rsidRDefault="00E54DA7">
      <w:pPr>
        <w:pBdr>
          <w:top w:val="nil"/>
          <w:left w:val="nil"/>
          <w:bottom w:val="nil"/>
          <w:right w:val="nil"/>
          <w:between w:val="nil"/>
        </w:pBdr>
        <w:rPr>
          <w:lang w:val="en-US"/>
        </w:rPr>
      </w:pPr>
      <w:r w:rsidRPr="00077A8E">
        <w:rPr>
          <w:lang w:val="en-US"/>
        </w:rPr>
        <w:t>The full interim report for the first half-year 2026 is avai</w:t>
      </w:r>
      <w:r w:rsidRPr="00077A8E">
        <w:rPr>
          <w:lang w:val="en-US"/>
        </w:rPr>
        <w:t xml:space="preserve">lable as a </w:t>
      </w:r>
      <w:hyperlink r:id="rId8" w:history="1">
        <w:r w:rsidRPr="00077A8E">
          <w:rPr>
            <w:rStyle w:val="Hyperlink"/>
            <w:lang w:val="en-US"/>
          </w:rPr>
          <w:t>PDF download</w:t>
        </w:r>
      </w:hyperlink>
      <w:r w:rsidRPr="00077A8E">
        <w:rPr>
          <w:lang w:val="en-US"/>
        </w:rPr>
        <w:t xml:space="preserve"> on the Koenig &amp; Bauer AG website. </w:t>
      </w:r>
    </w:p>
    <w:p w:rsidR="007C40D2" w:rsidRPr="00077A8E" w:rsidRDefault="007C40D2">
      <w:pPr>
        <w:pStyle w:val="berschrift5"/>
        <w:rPr>
          <w:lang w:val="en-US"/>
        </w:rPr>
      </w:pPr>
      <w:bookmarkStart w:id="5" w:name="_ap7b4r9qhnl5" w:colFirst="0" w:colLast="0"/>
      <w:bookmarkEnd w:id="5"/>
    </w:p>
    <w:p w:rsidR="007C40D2" w:rsidRPr="00077A8E" w:rsidRDefault="00E54DA7">
      <w:pPr>
        <w:pStyle w:val="berschrift5"/>
        <w:rPr>
          <w:lang w:val="en-US"/>
        </w:rPr>
      </w:pPr>
      <w:bookmarkStart w:id="6" w:name="_6bpgqvfyx0y" w:colFirst="0" w:colLast="0"/>
      <w:bookmarkEnd w:id="6"/>
      <w:r w:rsidRPr="00077A8E">
        <w:rPr>
          <w:lang w:val="en-US"/>
        </w:rPr>
        <w:t>Photo:</w:t>
      </w:r>
    </w:p>
    <w:p w:rsidR="007C40D2" w:rsidRDefault="00E54DA7">
      <w:r w:rsidRPr="00077A8E">
        <w:rPr>
          <w:b/>
          <w:bCs/>
          <w:lang w:val="en-US"/>
        </w:rPr>
        <w:t>Consistent implementation in focus:</w:t>
      </w:r>
      <w:r w:rsidRPr="00077A8E">
        <w:rPr>
          <w:lang w:val="en-US"/>
        </w:rPr>
        <w:t xml:space="preserve"> the strategic framework “IMPACT” actively drives the transformation at Koenig &amp; Bauer. The eponymous acronym bundles the six central fields of action as </w:t>
      </w:r>
      <w:r w:rsidRPr="00077A8E">
        <w:rPr>
          <w:lang w:val="en-US"/>
        </w:rPr>
        <w:t xml:space="preserve">an integral system – Intelligence, Go-To-Market, People, Adaptability, Competitiveness and Technology – </w:t>
      </w:r>
      <w:proofErr w:type="gramStart"/>
      <w:r w:rsidRPr="00077A8E">
        <w:rPr>
          <w:lang w:val="en-US"/>
        </w:rPr>
        <w:t>to sustainably secure</w:t>
      </w:r>
      <w:proofErr w:type="gramEnd"/>
      <w:r w:rsidRPr="00077A8E">
        <w:rPr>
          <w:lang w:val="en-US"/>
        </w:rPr>
        <w:t xml:space="preserve"> the operating resilience and long-term competitiveness of the Group in a volatile market environment. </w:t>
      </w:r>
      <w:r>
        <w:t>© Koenig &amp; Bauer</w:t>
      </w:r>
      <w:r>
        <w:br/>
      </w:r>
    </w:p>
    <w:p w:rsidR="007C40D2" w:rsidRDefault="00E54DA7">
      <w:pPr>
        <w:pStyle w:val="berschrift4"/>
      </w:pPr>
      <w:bookmarkStart w:id="7" w:name="_mj6w3khxdypk" w:colFirst="0" w:colLast="0"/>
      <w:bookmarkEnd w:id="7"/>
      <w:r>
        <w:t xml:space="preserve">Investor </w:t>
      </w:r>
      <w:proofErr w:type="spellStart"/>
      <w:r>
        <w:t>r</w:t>
      </w:r>
      <w:r>
        <w:t>elations</w:t>
      </w:r>
      <w:proofErr w:type="spellEnd"/>
      <w:r>
        <w:t xml:space="preserve"> </w:t>
      </w:r>
      <w:proofErr w:type="spellStart"/>
      <w:r>
        <w:t>contact</w:t>
      </w:r>
      <w:proofErr w:type="spellEnd"/>
    </w:p>
    <w:p w:rsidR="007C40D2" w:rsidRDefault="00E54DA7">
      <w:r>
        <w:t>Koenig &amp; Bauer AG</w:t>
      </w:r>
      <w:r>
        <w:br/>
        <w:t xml:space="preserve">Lena </w:t>
      </w:r>
      <w:proofErr w:type="spellStart"/>
      <w:r>
        <w:t>Landenberger</w:t>
      </w:r>
      <w:proofErr w:type="spellEnd"/>
      <w:r>
        <w:br/>
        <w:t>+49 931 909 4085</w:t>
      </w:r>
      <w:r>
        <w:br/>
      </w:r>
      <w:hyperlink r:id="rId9">
        <w:r>
          <w:rPr>
            <w:color w:val="1155CC"/>
            <w:u w:val="single"/>
          </w:rPr>
          <w:t>lena.landenberger@koenig-bauer.com</w:t>
        </w:r>
      </w:hyperlink>
    </w:p>
    <w:p w:rsidR="007C40D2" w:rsidRPr="00077A8E" w:rsidRDefault="00E54DA7">
      <w:pPr>
        <w:pStyle w:val="berschrift4"/>
        <w:rPr>
          <w:lang w:val="en-US"/>
        </w:rPr>
      </w:pPr>
      <w:bookmarkStart w:id="8" w:name="_ykles5ixf787" w:colFirst="0" w:colLast="0"/>
      <w:bookmarkEnd w:id="8"/>
      <w:r w:rsidRPr="00077A8E">
        <w:rPr>
          <w:lang w:val="en-US"/>
        </w:rPr>
        <w:t>Contact person for the press</w:t>
      </w:r>
    </w:p>
    <w:p w:rsidR="007C40D2" w:rsidRPr="00077A8E" w:rsidRDefault="00E54DA7">
      <w:pPr>
        <w:rPr>
          <w:lang w:val="en-US"/>
        </w:rPr>
      </w:pPr>
      <w:r w:rsidRPr="00077A8E">
        <w:rPr>
          <w:lang w:val="en-US"/>
        </w:rPr>
        <w:t>Koenig &amp; Bauer AG</w:t>
      </w:r>
      <w:r w:rsidRPr="00077A8E">
        <w:rPr>
          <w:lang w:val="en-US"/>
        </w:rPr>
        <w:br/>
        <w:t xml:space="preserve">Dr. André </w:t>
      </w:r>
      <w:proofErr w:type="spellStart"/>
      <w:r w:rsidRPr="00077A8E">
        <w:rPr>
          <w:lang w:val="en-US"/>
        </w:rPr>
        <w:t>Jäger</w:t>
      </w:r>
      <w:proofErr w:type="spellEnd"/>
      <w:r w:rsidRPr="00077A8E">
        <w:rPr>
          <w:lang w:val="en-US"/>
        </w:rPr>
        <w:t xml:space="preserve"> </w:t>
      </w:r>
      <w:r w:rsidRPr="00077A8E">
        <w:rPr>
          <w:lang w:val="en-US"/>
        </w:rPr>
        <w:br/>
        <w:t>+49 931 909 4085</w:t>
      </w:r>
      <w:r w:rsidRPr="00077A8E">
        <w:rPr>
          <w:lang w:val="en-US"/>
        </w:rPr>
        <w:br/>
      </w:r>
      <w:hyperlink r:id="rId10">
        <w:r w:rsidRPr="00077A8E">
          <w:rPr>
            <w:color w:val="1155CC"/>
            <w:u w:val="single"/>
            <w:lang w:val="en-US"/>
          </w:rPr>
          <w:t>andre.jaeger@koenig-bauer.com</w:t>
        </w:r>
      </w:hyperlink>
    </w:p>
    <w:p w:rsidR="007C40D2" w:rsidRPr="00077A8E" w:rsidRDefault="007C40D2">
      <w:pPr>
        <w:pStyle w:val="berschrift4"/>
        <w:rPr>
          <w:lang w:val="en-US"/>
        </w:rPr>
      </w:pPr>
      <w:bookmarkStart w:id="9" w:name="_m0ash9ktyeyt" w:colFirst="0" w:colLast="0"/>
      <w:bookmarkEnd w:id="9"/>
    </w:p>
    <w:p w:rsidR="007C40D2" w:rsidRPr="00077A8E" w:rsidRDefault="00E54DA7">
      <w:pPr>
        <w:pStyle w:val="berschrift4"/>
        <w:rPr>
          <w:b w:val="0"/>
          <w:bCs w:val="0"/>
          <w:lang w:val="en-US"/>
        </w:rPr>
      </w:pPr>
      <w:bookmarkStart w:id="10" w:name="_1wxqedid8pv3" w:colFirst="0" w:colLast="0"/>
      <w:bookmarkEnd w:id="10"/>
      <w:r w:rsidRPr="00077A8E">
        <w:rPr>
          <w:lang w:val="en-US"/>
        </w:rPr>
        <w:t>About Koenig &amp; Bauer</w:t>
      </w:r>
      <w:r w:rsidRPr="00077A8E">
        <w:rPr>
          <w:lang w:val="en-US"/>
        </w:rPr>
        <w:br/>
      </w:r>
      <w:r w:rsidRPr="00077A8E">
        <w:rPr>
          <w:b w:val="0"/>
          <w:bCs w:val="0"/>
          <w:lang w:val="en-US"/>
        </w:rPr>
        <w:t>Based in Würzburg (Germany), Koenig &amp; Bauer is a global printing press manufacturer. It produces presses and software solutions for the entire printin</w:t>
      </w:r>
      <w:r w:rsidRPr="00077A8E">
        <w:rPr>
          <w:b w:val="0"/>
          <w:bCs w:val="0"/>
          <w:lang w:val="en-US"/>
        </w:rPr>
        <w:t>g and finishing process, primarily in the area of packaging. Koenig &amp; Bauer systems can print almost all substrates, including banknotes, cardboard, corrugated cardboard, foil, tin and glass packaging, books, displays, labelling, decors, magazines, adverti</w:t>
      </w:r>
      <w:r w:rsidRPr="00077A8E">
        <w:rPr>
          <w:b w:val="0"/>
          <w:bCs w:val="0"/>
          <w:lang w:val="en-US"/>
        </w:rPr>
        <w:t xml:space="preserve">sing and newsprint. With a history spanning more than 200 years, Koenig &amp; Bauer is the world’s oldest printing press manufacturer and today masters almost all printing processes. Around 5,500 people work across the Group. Koenig &amp; Bauer produces at eleven </w:t>
      </w:r>
      <w:r w:rsidRPr="00077A8E">
        <w:rPr>
          <w:b w:val="0"/>
          <w:bCs w:val="0"/>
          <w:lang w:val="en-US"/>
        </w:rPr>
        <w:t>locations in Europe and maintains a worldwide sales and service network. It reported Group revenue of roughly €1.3bn in 2025.</w:t>
      </w:r>
    </w:p>
    <w:p w:rsidR="007C40D2" w:rsidRPr="00077A8E" w:rsidRDefault="00E54DA7">
      <w:pPr>
        <w:spacing w:before="240"/>
        <w:rPr>
          <w:lang w:val="en-US"/>
        </w:rPr>
      </w:pPr>
      <w:r w:rsidRPr="00077A8E">
        <w:rPr>
          <w:lang w:val="en-US"/>
        </w:rPr>
        <w:t>For more information, visit</w:t>
      </w:r>
      <w:hyperlink r:id="rId11">
        <w:r w:rsidRPr="00077A8E">
          <w:rPr>
            <w:color w:val="1155CC"/>
            <w:lang w:val="en-US"/>
          </w:rPr>
          <w:t xml:space="preserve"> </w:t>
        </w:r>
      </w:hyperlink>
      <w:hyperlink r:id="rId12">
        <w:r w:rsidRPr="00077A8E">
          <w:rPr>
            <w:color w:val="1155CC"/>
            <w:u w:val="single"/>
            <w:lang w:val="en-US"/>
          </w:rPr>
          <w:t>www.ko</w:t>
        </w:r>
        <w:r w:rsidRPr="00077A8E">
          <w:rPr>
            <w:color w:val="1155CC"/>
            <w:u w:val="single"/>
            <w:lang w:val="en-US"/>
          </w:rPr>
          <w:t>enig-bauer.com</w:t>
        </w:r>
      </w:hyperlink>
    </w:p>
    <w:p w:rsidR="007C40D2" w:rsidRPr="00077A8E" w:rsidRDefault="007C40D2">
      <w:pPr>
        <w:rPr>
          <w:lang w:val="en-US"/>
        </w:rPr>
      </w:pPr>
    </w:p>
    <w:sectPr w:rsidR="007C40D2" w:rsidRPr="00077A8E">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54DA7">
      <w:pPr>
        <w:spacing w:after="0" w:line="240" w:lineRule="auto"/>
      </w:pPr>
      <w:r>
        <w:separator/>
      </w:r>
    </w:p>
  </w:endnote>
  <w:endnote w:type="continuationSeparator" w:id="0">
    <w:p w:rsidR="00000000" w:rsidRDefault="00E54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73763CE-38C7-48EF-8959-FD3F55F7FE55}"/>
  </w:font>
  <w:font w:name="Cambria">
    <w:panose1 w:val="02040503050406030204"/>
    <w:charset w:val="00"/>
    <w:family w:val="roman"/>
    <w:pitch w:val="variable"/>
    <w:sig w:usb0="E00006FF" w:usb1="420024FF" w:usb2="02000000" w:usb3="00000000" w:csb0="0000019F" w:csb1="00000000"/>
    <w:embedRegular r:id="rId2" w:fontKey="{6320D637-F11C-4439-83CF-13B872EA268B}"/>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0D2" w:rsidRPr="00077A8E" w:rsidRDefault="00E54DA7">
    <w:pPr>
      <w:rPr>
        <w:sz w:val="18"/>
        <w:szCs w:val="18"/>
        <w:lang w:val="en-US"/>
      </w:rPr>
    </w:pPr>
    <w:r w:rsidRPr="00077A8E">
      <w:rPr>
        <w:sz w:val="12"/>
        <w:szCs w:val="12"/>
        <w:lang w:val="en-US"/>
      </w:rPr>
      <w:t xml:space="preserve">Koenig &amp; Bauer with strong second quarter: Significant increase in order intake, clear intra-year earnings improvement and positive free cash flow                      </w:t>
    </w:r>
    <w:r w:rsidRPr="00077A8E">
      <w:rPr>
        <w:sz w:val="12"/>
        <w:szCs w:val="12"/>
        <w:lang w:val="en-US"/>
      </w:rPr>
      <w:t xml:space="preserve">           | </w:t>
    </w:r>
    <w:r>
      <w:rPr>
        <w:sz w:val="12"/>
        <w:szCs w:val="12"/>
      </w:rPr>
      <w:fldChar w:fldCharType="begin"/>
    </w:r>
    <w:r w:rsidRPr="00077A8E">
      <w:rPr>
        <w:sz w:val="12"/>
        <w:szCs w:val="12"/>
        <w:lang w:val="en-US"/>
      </w:rPr>
      <w:instrText>PAGE</w:instrText>
    </w:r>
    <w:r w:rsidR="00077A8E">
      <w:rPr>
        <w:sz w:val="12"/>
        <w:szCs w:val="12"/>
      </w:rPr>
      <w:fldChar w:fldCharType="separate"/>
    </w:r>
    <w:r>
      <w:rPr>
        <w:noProof/>
        <w:sz w:val="12"/>
        <w:szCs w:val="12"/>
        <w:lang w:val="en-US"/>
      </w:rPr>
      <w:t>4</w:t>
    </w:r>
    <w:r>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54DA7">
      <w:pPr>
        <w:spacing w:after="0" w:line="240" w:lineRule="auto"/>
      </w:pPr>
      <w:r>
        <w:separator/>
      </w:r>
    </w:p>
  </w:footnote>
  <w:footnote w:type="continuationSeparator" w:id="0">
    <w:p w:rsidR="00000000" w:rsidRDefault="00E54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0D2" w:rsidRDefault="00E54DA7">
    <w:pPr>
      <w:jc w:val="center"/>
    </w:pPr>
    <w:r>
      <w:rPr>
        <w:noProof/>
        <w:lang w:val="de-DE"/>
      </w:rPr>
      <w:drawing>
        <wp:inline distT="114300" distB="114300" distL="114300" distR="114300">
          <wp:extent cx="2592000" cy="21846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92000" cy="21846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A21398"/>
    <w:multiLevelType w:val="multilevel"/>
    <w:tmpl w:val="CFDCAC2A"/>
    <w:lvl w:ilvl="0">
      <w:start w:val="1"/>
      <w:numFmt w:val="bullet"/>
      <w:lvlText w:val="•"/>
      <w:lvlJc w:val="left"/>
      <w:pPr>
        <w:ind w:left="340" w:hanging="340"/>
      </w:pPr>
      <w:rPr>
        <w:u w:val="none"/>
      </w:rPr>
    </w:lvl>
    <w:lvl w:ilvl="1">
      <w:start w:val="1"/>
      <w:numFmt w:val="bullet"/>
      <w:lvlText w:val="•"/>
      <w:lvlJc w:val="left"/>
      <w:pPr>
        <w:ind w:left="680" w:hanging="340"/>
      </w:pPr>
      <w:rPr>
        <w:u w:val="none"/>
      </w:rPr>
    </w:lvl>
    <w:lvl w:ilvl="2">
      <w:start w:val="1"/>
      <w:numFmt w:val="bullet"/>
      <w:lvlText w:val="•"/>
      <w:lvlJc w:val="left"/>
      <w:pPr>
        <w:ind w:left="1020" w:hanging="340"/>
      </w:pPr>
      <w:rPr>
        <w:u w:val="none"/>
      </w:rPr>
    </w:lvl>
    <w:lvl w:ilvl="3">
      <w:start w:val="1"/>
      <w:numFmt w:val="bullet"/>
      <w:lvlText w:val="•"/>
      <w:lvlJc w:val="left"/>
      <w:pPr>
        <w:ind w:left="1360" w:hanging="340"/>
      </w:pPr>
      <w:rPr>
        <w:u w:val="none"/>
      </w:rPr>
    </w:lvl>
    <w:lvl w:ilvl="4">
      <w:start w:val="1"/>
      <w:numFmt w:val="bullet"/>
      <w:lvlText w:val="•"/>
      <w:lvlJc w:val="left"/>
      <w:pPr>
        <w:ind w:left="1700" w:hanging="340"/>
      </w:pPr>
      <w:rPr>
        <w:u w:val="none"/>
      </w:rPr>
    </w:lvl>
    <w:lvl w:ilvl="5">
      <w:start w:val="1"/>
      <w:numFmt w:val="bullet"/>
      <w:lvlText w:val="•"/>
      <w:lvlJc w:val="left"/>
      <w:pPr>
        <w:ind w:left="2040" w:hanging="340"/>
      </w:pPr>
      <w:rPr>
        <w:u w:val="none"/>
      </w:rPr>
    </w:lvl>
    <w:lvl w:ilvl="6">
      <w:start w:val="1"/>
      <w:numFmt w:val="bullet"/>
      <w:lvlText w:val="•"/>
      <w:lvlJc w:val="left"/>
      <w:pPr>
        <w:ind w:left="2380" w:hanging="340"/>
      </w:pPr>
      <w:rPr>
        <w:u w:val="none"/>
      </w:rPr>
    </w:lvl>
    <w:lvl w:ilvl="7">
      <w:start w:val="1"/>
      <w:numFmt w:val="bullet"/>
      <w:lvlText w:val="•"/>
      <w:lvlJc w:val="left"/>
      <w:pPr>
        <w:ind w:left="2720" w:hanging="340"/>
      </w:pPr>
      <w:rPr>
        <w:u w:val="none"/>
      </w:rPr>
    </w:lvl>
    <w:lvl w:ilvl="8">
      <w:start w:val="1"/>
      <w:numFmt w:val="bullet"/>
      <w:lvlText w:val="•"/>
      <w:lvlJc w:val="left"/>
      <w:pPr>
        <w:ind w:left="3060" w:hanging="34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0D2"/>
    <w:rsid w:val="00077A8E"/>
    <w:rsid w:val="007C40D2"/>
    <w:rsid w:val="00E54D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48C3"/>
  <w15:docId w15:val="{28E1A020-64AC-4453-901D-89CC18BE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de" w:eastAsia="de-DE" w:bidi="ar-SA"/>
      </w:rPr>
    </w:rPrDefault>
    <w:pPrDefault>
      <w:pPr>
        <w:spacing w:after="24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pPr>
      <w:keepNext/>
      <w:keepLines/>
      <w:tabs>
        <w:tab w:val="left" w:pos="850"/>
      </w:tabs>
      <w:spacing w:before="480" w:line="240" w:lineRule="auto"/>
      <w:outlineLvl w:val="0"/>
    </w:pPr>
    <w:rPr>
      <w:b/>
      <w:bCs/>
      <w:color w:val="002355"/>
      <w:sz w:val="40"/>
      <w:szCs w:val="40"/>
    </w:rPr>
  </w:style>
  <w:style w:type="paragraph" w:styleId="berschrift2">
    <w:name w:val="heading 2"/>
    <w:basedOn w:val="Standard"/>
    <w:next w:val="Standard"/>
    <w:pPr>
      <w:keepNext/>
      <w:keepLines/>
      <w:outlineLvl w:val="1"/>
    </w:pPr>
    <w:rPr>
      <w:b/>
      <w:bCs/>
      <w:color w:val="002355"/>
      <w:sz w:val="28"/>
      <w:szCs w:val="28"/>
    </w:rPr>
  </w:style>
  <w:style w:type="paragraph" w:styleId="berschrift3">
    <w:name w:val="heading 3"/>
    <w:basedOn w:val="Standard"/>
    <w:next w:val="Standard"/>
    <w:pPr>
      <w:keepNext/>
      <w:keepLines/>
      <w:spacing w:after="0"/>
      <w:outlineLvl w:val="2"/>
    </w:pPr>
    <w:rPr>
      <w:b/>
      <w:bCs/>
      <w:color w:val="002355"/>
    </w:rPr>
  </w:style>
  <w:style w:type="paragraph" w:styleId="berschrift4">
    <w:name w:val="heading 4"/>
    <w:basedOn w:val="Standard"/>
    <w:next w:val="Standard"/>
    <w:pPr>
      <w:keepNext/>
      <w:keepLines/>
      <w:spacing w:after="0"/>
      <w:outlineLvl w:val="3"/>
    </w:pPr>
    <w:rPr>
      <w:b/>
      <w:bCs/>
    </w:rPr>
  </w:style>
  <w:style w:type="paragraph" w:styleId="berschrift5">
    <w:name w:val="heading 5"/>
    <w:basedOn w:val="Standard"/>
    <w:next w:val="Standard"/>
    <w:pPr>
      <w:keepNext/>
      <w:keepLines/>
      <w:spacing w:after="0"/>
      <w:outlineLvl w:val="4"/>
    </w:pPr>
    <w:rPr>
      <w:b/>
      <w:bCs/>
    </w:rPr>
  </w:style>
  <w:style w:type="paragraph" w:styleId="berschrift6">
    <w:name w:val="heading 6"/>
    <w:basedOn w:val="Standard"/>
    <w:next w:val="Standard"/>
    <w:pPr>
      <w:keepNext/>
      <w:keepLines/>
      <w:spacing w:before="240" w:after="80"/>
      <w:outlineLvl w:val="5"/>
    </w:pPr>
    <w:rPr>
      <w:i/>
      <w:iCs/>
      <w:color w:val="666666"/>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pPr>
      <w:keepNext/>
      <w:keepLines/>
      <w:spacing w:after="60"/>
    </w:pPr>
    <w:rPr>
      <w:sz w:val="52"/>
      <w:szCs w:val="52"/>
    </w:rPr>
  </w:style>
  <w:style w:type="paragraph" w:styleId="Untertitel">
    <w:name w:val="Subtitle"/>
    <w:basedOn w:val="Standard"/>
    <w:next w:val="Standard"/>
    <w:pPr>
      <w:keepNext/>
      <w:keepLines/>
      <w:spacing w:line="240" w:lineRule="auto"/>
    </w:pPr>
    <w:rPr>
      <w:color w:val="002355"/>
      <w:sz w:val="28"/>
      <w:szCs w:val="28"/>
    </w:rPr>
  </w:style>
  <w:style w:type="character" w:styleId="Hyperlink">
    <w:name w:val="Hyperlink"/>
    <w:basedOn w:val="Absatz-Standardschriftart"/>
    <w:uiPriority w:val="99"/>
    <w:unhideWhenUsed/>
    <w:rsid w:val="00077A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investors.koenig-bauer.com/fileadmin/user_upload/04_Unternehmen/Investor_Relations/Berichte/Berichte_2026_h1/26-08-06-ir-interim-report-h1-2026-en.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vestors.koenig-bauer.com/fileadmin/user_upload/04_Unternehmen/Investor_Relations/Berichte/Berichte_2026_h1/26-08-06-ir-group-key-figures-h1-2026-en.pdf" TargetMode="External"/><Relationship Id="rId12" Type="http://schemas.openxmlformats.org/officeDocument/2006/relationships/hyperlink" Target="http://www.koenig-baue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enig-baue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ndre.jaeger@koenig-bauer.com" TargetMode="External"/><Relationship Id="rId4" Type="http://schemas.openxmlformats.org/officeDocument/2006/relationships/webSettings" Target="webSettings.xml"/><Relationship Id="rId9" Type="http://schemas.openxmlformats.org/officeDocument/2006/relationships/hyperlink" Target="mailto:lena.landenberger@koenig-bauer.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1240</Words>
  <Characters>7818</Characters>
  <Application>Microsoft Office Word</Application>
  <DocSecurity>0</DocSecurity>
  <Lines>65</Lines>
  <Paragraphs>18</Paragraphs>
  <ScaleCrop>false</ScaleCrop>
  <Company>KOENIG &amp; BAUER AG</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Rügamer, René (ZFI)</cp:lastModifiedBy>
  <cp:revision>3</cp:revision>
  <dcterms:created xsi:type="dcterms:W3CDTF">2026-08-05T19:41:00Z</dcterms:created>
  <dcterms:modified xsi:type="dcterms:W3CDTF">2026-08-05T20:41:00Z</dcterms:modified>
</cp:coreProperties>
</file>