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color w:val="002355"/>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color w:val="002355"/>
          <w:sz w:val="26"/>
          <w:szCs w:val="26"/>
        </w:rPr>
      </w:pPr>
      <w:r w:rsidDel="00000000" w:rsidR="00000000" w:rsidRPr="00000000">
        <w:rPr>
          <w:rFonts w:ascii="Arial" w:cs="Arial" w:eastAsia="Arial" w:hAnsi="Arial"/>
          <w:b w:val="1"/>
          <w:color w:val="002355"/>
          <w:sz w:val="26"/>
          <w:szCs w:val="26"/>
          <w:rtl w:val="0"/>
        </w:rPr>
        <w:t xml:space="preserve">Ordentliche Hauptversammlung der Koenig &amp; Bauer AG</w:t>
      </w:r>
    </w:p>
    <w:p w:rsidR="00000000" w:rsidDel="00000000" w:rsidP="00000000" w:rsidRDefault="00000000" w:rsidRPr="00000000" w14:paraId="00000006">
      <w:pPr>
        <w:spacing w:after="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color w:val="f02d32"/>
          <w:sz w:val="24"/>
          <w:szCs w:val="24"/>
        </w:rPr>
      </w:pPr>
      <w:bookmarkStart w:colFirst="0" w:colLast="0" w:name="_heading=h.30j0zll" w:id="0"/>
      <w:bookmarkEnd w:id="0"/>
      <w:r w:rsidDel="00000000" w:rsidR="00000000" w:rsidRPr="00000000">
        <w:rPr>
          <w:rFonts w:ascii="Arial" w:cs="Arial" w:eastAsia="Arial" w:hAnsi="Arial"/>
          <w:color w:val="f02d32"/>
          <w:sz w:val="24"/>
          <w:szCs w:val="24"/>
          <w:rtl w:val="0"/>
        </w:rPr>
        <w:t xml:space="preserve">Erläuterungen zu Tagesordnungspunkt 1 gemäß § 124a Satz 1 Nr. 2 AktG</w:t>
      </w:r>
    </w:p>
    <w:p w:rsidR="00000000" w:rsidDel="00000000" w:rsidP="00000000" w:rsidRDefault="00000000" w:rsidRPr="00000000" w14:paraId="00000008">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Tagesordnungspunkt 1 sieht die Vorlage des festgestellten Jahresabschlusses und des gebilligten Konzernabschlusses sowie des zusammengefassten Lageberichts für die Koenig &amp; Bauer AG und die Koenig &amp; Bauer Unternehmensgruppe zum 31. Dezember 2023 sowie des Berichts des Aufsichtsrats und des nichtfinanziellen Konzernberichts für das Geschäftsjahr 2023 vor. Die genannten Unterlagen enthalten auch den erläuternden Bericht zu den Angaben nach § 289a Abs. 1, § 315a Abs. 1 des HGB.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Eine Beschlussfassung zu diesem Tagesordnungspunkt ist aus folgenden Gründen nicht vorgesehen: Der Aufsichtsrat hat in seiner Sitzung am 20. März 2024 den vom Vorstand aufgestellten Jahresabschluss gemäß § 172 Satz 1 1. Halbsatz AktG gebilligt; der Jahresabschluss ist damit festgestellt. Der Aufsichtsrat hat ferner in seiner Sitzung am 20. März 2024 den Konzernabschluss gebilligt. Vorstand und Aufsichtsrat haben in Bezug auf den Jahresabschluss von der Möglichkeit des § 172 Satz 1 2. Halbsatz AktG in Verbindung mit § 173 AktG keinen Gebrauch gemacht. Auch kommt § 173 Abs. 1 Satz 2 AktG in Bezug auf den Konzernabschluss nicht zur Anwendung. Somit erfolgt zu Tagesordnungspunkt 1 keine Beschlussfassung der Hauptversammlung.</w:t>
      </w:r>
    </w:p>
    <w:p w:rsidR="00000000" w:rsidDel="00000000" w:rsidP="00000000" w:rsidRDefault="00000000" w:rsidRPr="00000000" w14:paraId="0000000B">
      <w:pPr>
        <w:rPr>
          <w:rFonts w:ascii="Arial" w:cs="Arial" w:eastAsia="Arial" w:hAnsi="Arial"/>
        </w:rPr>
      </w:pPr>
      <w:bookmarkStart w:colFirst="0" w:colLast="0" w:name="_heading=h.gjdgxs" w:id="1"/>
      <w:bookmarkEnd w:id="1"/>
      <w:r w:rsidDel="00000000" w:rsidR="00000000" w:rsidRPr="00000000">
        <w:rPr>
          <w:rFonts w:ascii="Arial" w:cs="Arial" w:eastAsia="Arial" w:hAnsi="Arial"/>
          <w:rtl w:val="0"/>
        </w:rPr>
        <w:t xml:space="preserve">Die in § 175 Abs. 2 AktG genannten Unterlagen sind vom Tag der Einberufung der Hauptversammlung an auf der Internetseite der Gesellschaft unter </w:t>
      </w:r>
      <w:hyperlink r:id="rId7">
        <w:r w:rsidDel="00000000" w:rsidR="00000000" w:rsidRPr="00000000">
          <w:rPr>
            <w:rFonts w:ascii="Arial" w:cs="Arial" w:eastAsia="Arial" w:hAnsi="Arial"/>
            <w:color w:val="002355"/>
            <w:u w:val="single"/>
            <w:rtl w:val="0"/>
          </w:rPr>
          <w:t xml:space="preserve">https://investors.koenig-bauer.com/de/hauptversammlung/</w:t>
        </w:r>
      </w:hyperlink>
      <w:r w:rsidDel="00000000" w:rsidR="00000000" w:rsidRPr="00000000">
        <w:rPr>
          <w:rFonts w:ascii="Arial" w:cs="Arial" w:eastAsia="Arial" w:hAnsi="Arial"/>
          <w:color w:val="002355"/>
          <w:rtl w:val="0"/>
        </w:rPr>
        <w:t xml:space="preserve"> </w:t>
      </w:r>
      <w:r w:rsidDel="00000000" w:rsidR="00000000" w:rsidRPr="00000000">
        <w:rPr>
          <w:rFonts w:ascii="Arial" w:cs="Arial" w:eastAsia="Arial" w:hAnsi="Arial"/>
          <w:rtl w:val="0"/>
        </w:rPr>
        <w:t xml:space="preserve">veröffentlicht und abrufbar. Sie werden dort auch während der Hauptversammlung zugänglich sein. Die Unterlagen werden Aktionär:innen auf Anfrage zugesandt. Ferner werden alle genannten Dokumente in der Hauptversammlung  am 26. Juni 2024 erläutert.</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Auf der genannten Internetseite finden sich auch die Erklärung zur Unternehmensführung mit der Berichterstattung zur Corporate Governance sowie der Vergütungsbericht zum Geschäftsjahr 2023.</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Würzburg, im April 2024</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Der Vorstand</w:t>
      </w:r>
    </w:p>
    <w:p w:rsidR="00000000" w:rsidDel="00000000" w:rsidP="00000000" w:rsidRDefault="00000000" w:rsidRPr="00000000" w14:paraId="00000010">
      <w:pPr>
        <w:spacing w:after="0" w:lineRule="auto"/>
        <w:jc w:val="both"/>
        <w:rPr>
          <w:rFonts w:ascii="Arial" w:cs="Arial" w:eastAsia="Arial" w:hAnsi="Arial"/>
        </w:rPr>
      </w:pPr>
      <w:r w:rsidDel="00000000" w:rsidR="00000000" w:rsidRPr="00000000">
        <w:rPr>
          <w:rFonts w:ascii="Arial" w:cs="Arial" w:eastAsia="Arial" w:hAnsi="Arial"/>
          <w:rtl w:val="0"/>
        </w:rPr>
        <w:t xml:space="preserve">Koenig &amp; Bauer AG</w:t>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Fonts w:ascii="Arial" w:cs="Arial" w:eastAsia="Arial" w:hAnsi="Arial"/>
          <w:rtl w:val="0"/>
        </w:rPr>
        <w:t xml:space="preserve">Friedrich-Koenig-Straße 4</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rtl w:val="0"/>
        </w:rPr>
        <w:t xml:space="preserve">97080 Würzburg</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Deutschland</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680"/>
        <w:tab w:val="right" w:leader="none" w:pos="9360"/>
      </w:tabs>
      <w:spacing w:after="0" w:lineRule="auto"/>
      <w:jc w:val="center"/>
      <w:rPr>
        <w:color w:val="000000"/>
      </w:rPr>
    </w:pPr>
    <w:r w:rsidDel="00000000" w:rsidR="00000000" w:rsidRPr="00000000">
      <w:rPr>
        <w:rFonts w:ascii="Arial" w:cs="Arial" w:eastAsia="Arial" w:hAnsi="Arial"/>
      </w:rPr>
      <w:drawing>
        <wp:inline distB="0" distT="0" distL="0" distR="0">
          <wp:extent cx="2520315" cy="2159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0315" cy="2159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next w:val="Standard"/>
    <w:pPr>
      <w:keepNext w:val="1"/>
      <w:keepLines w:val="1"/>
      <w:spacing w:after="40" w:before="240"/>
      <w:outlineLvl w:val="3"/>
    </w:pPr>
    <w:rPr>
      <w:b w:val="1"/>
      <w:sz w:val="24"/>
      <w:szCs w:val="24"/>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character" w:styleId="Hyperlink">
    <w:name w:val="Hyperlink"/>
    <w:basedOn w:val="Absatz-Standardschriftart"/>
    <w:uiPriority w:val="99"/>
    <w:unhideWhenUsed w:val="1"/>
    <w:rPr>
      <w:color w:val="0000ff" w:themeColor="hyperlink"/>
      <w:u w:val="single"/>
    </w:rPr>
  </w:style>
  <w:style w:type="paragraph" w:styleId="Kopfzeile">
    <w:name w:val="header"/>
    <w:basedOn w:val="Standard"/>
    <w:link w:val="KopfzeileZchn"/>
    <w:uiPriority w:val="99"/>
    <w:unhideWhenUsed w:val="1"/>
    <w:pPr>
      <w:tabs>
        <w:tab w:val="center" w:pos="4680"/>
        <w:tab w:val="right" w:pos="9360"/>
      </w:tabs>
      <w:spacing w:after="0" w:line="240" w:lineRule="auto"/>
    </w:pPr>
  </w:style>
  <w:style w:type="character" w:styleId="KopfzeileZchn" w:customStyle="1">
    <w:name w:val="Kopfzeile Zchn"/>
    <w:basedOn w:val="Absatz-Standardschriftart"/>
    <w:link w:val="Kopfzeile"/>
    <w:uiPriority w:val="99"/>
  </w:style>
  <w:style w:type="paragraph" w:styleId="Fuzeile">
    <w:name w:val="footer"/>
    <w:basedOn w:val="Standard"/>
    <w:link w:val="FuzeileZchn"/>
    <w:uiPriority w:val="99"/>
    <w:unhideWhenUsed w:val="1"/>
    <w:pPr>
      <w:tabs>
        <w:tab w:val="center" w:pos="4680"/>
        <w:tab w:val="right" w:pos="9360"/>
      </w:tabs>
      <w:spacing w:after="0" w:line="240" w:lineRule="auto"/>
    </w:pPr>
  </w:style>
  <w:style w:type="character" w:styleId="FuzeileZchn" w:customStyle="1">
    <w:name w:val="Fußzeile Zchn"/>
    <w:basedOn w:val="Absatz-Standardschriftart"/>
    <w:link w:val="Fuzeile"/>
    <w:uiPriority w:val="99"/>
  </w:style>
  <w:style w:type="character" w:styleId="DocID" w:customStyle="1">
    <w:name w:val="DocID"/>
    <w:basedOn w:val="Absatz-Standardschriftart"/>
    <w:rPr>
      <w:rFonts w:ascii="Arial" w:cs="Arial" w:hAnsi="Arial"/>
      <w:b w:val="0"/>
      <w:i w:val="0"/>
      <w:caps w:val="0"/>
      <w:vanish w:val="0"/>
      <w:color w:val="000000"/>
      <w:sz w:val="150"/>
      <w:u w:val="none"/>
    </w:rPr>
  </w:style>
  <w:style w:type="paragraph" w:styleId="Sprechblasentext">
    <w:name w:val="Balloon Text"/>
    <w:basedOn w:val="Standard"/>
    <w:link w:val="SprechblasentextZchn"/>
    <w:uiPriority w:val="99"/>
    <w:semiHidden w:val="1"/>
    <w:unhideWhenUsed w:val="1"/>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Pr>
      <w:rFonts w:ascii="Tahoma" w:cs="Tahoma" w:hAnsi="Tahoma"/>
      <w:sz w:val="16"/>
      <w:szCs w:val="16"/>
    </w:rPr>
  </w:style>
  <w:style w:type="paragraph" w:styleId="Datum">
    <w:name w:val="Date"/>
    <w:basedOn w:val="Standard"/>
    <w:next w:val="Standard"/>
    <w:link w:val="DatumZchn"/>
    <w:uiPriority w:val="99"/>
    <w:semiHidden w:val="1"/>
    <w:unhideWhenUsed w:val="1"/>
  </w:style>
  <w:style w:type="character" w:styleId="DatumZchn" w:customStyle="1">
    <w:name w:val="Datum Zchn"/>
    <w:basedOn w:val="Absatz-Standardschriftart"/>
    <w:link w:val="Datum"/>
    <w:uiPriority w:val="99"/>
    <w:semiHidden w:val="1"/>
  </w:style>
  <w:style w:type="character" w:styleId="Kommentarzeichen">
    <w:name w:val="annotation reference"/>
    <w:basedOn w:val="Absatz-Standardschriftart"/>
    <w:uiPriority w:val="99"/>
    <w:semiHidden w:val="1"/>
    <w:unhideWhenUsed w:val="1"/>
    <w:rPr>
      <w:sz w:val="16"/>
      <w:szCs w:val="16"/>
    </w:rPr>
  </w:style>
  <w:style w:type="paragraph" w:styleId="Kommentartext">
    <w:name w:val="annotation text"/>
    <w:basedOn w:val="Standard"/>
    <w:link w:val="KommentartextZchn"/>
    <w:uiPriority w:val="99"/>
    <w:semiHidden w:val="1"/>
    <w:unhideWhenUsed w:val="1"/>
    <w:pPr>
      <w:spacing w:line="240" w:lineRule="auto"/>
    </w:pPr>
    <w:rPr>
      <w:sz w:val="20"/>
      <w:szCs w:val="20"/>
    </w:rPr>
  </w:style>
  <w:style w:type="character" w:styleId="KommentartextZchn" w:customStyle="1">
    <w:name w:val="Kommentartext Zchn"/>
    <w:basedOn w:val="Absatz-Standardschriftart"/>
    <w:link w:val="Kommentartext"/>
    <w:uiPriority w:val="99"/>
    <w:semiHidden w:val="1"/>
    <w:rPr>
      <w:sz w:val="20"/>
      <w:szCs w:val="20"/>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Untertitel">
    <w:name w:val="Subtitle"/>
    <w:basedOn w:val="Standard"/>
    <w:next w:val="Stand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vestors.koenig-bauer.com/de/hauptversammlung/"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Yx5C3gZstK4kBMznwfuI0NNgqg==">CgMxLjAyCWguMzBqMHpsbDIIaC5namRneHM4AHIhMVVJcHhaQzNtcE9nLUNJSnFUQW5QajJpVm14YnRRcnVo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2022-04-04T07:02:00Z</dcterms:created>
  <dc:creator>Müller, Corinna (VV)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704072011 v2</vt:lpwstr>
  </property>
</Properties>
</file>