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117D68" w:rsidRDefault="00117D68" w:rsidP="00BC4F56">
      <w:pPr>
        <w:pStyle w:val="Untertitel"/>
        <w:spacing w:after="240"/>
        <w:rPr>
          <w:rFonts w:asciiTheme="majorHAnsi" w:eastAsiaTheme="majorEastAsia" w:hAnsiTheme="majorHAnsi" w:cstheme="majorBidi"/>
          <w:b/>
          <w:bCs/>
          <w:spacing w:val="0"/>
          <w:sz w:val="40"/>
          <w:szCs w:val="40"/>
        </w:rPr>
      </w:pPr>
      <w:r w:rsidRPr="00117D68">
        <w:rPr>
          <w:rFonts w:asciiTheme="majorHAnsi" w:eastAsiaTheme="majorEastAsia" w:hAnsiTheme="majorHAnsi" w:cstheme="majorBidi"/>
          <w:b/>
          <w:bCs/>
          <w:spacing w:val="0"/>
          <w:sz w:val="40"/>
          <w:szCs w:val="40"/>
        </w:rPr>
        <w:t>Stets zu Ihren Diensten – der Service der Koenig &amp; Bauer MetalPrint</w:t>
      </w:r>
    </w:p>
    <w:p w:rsidR="00584EAD" w:rsidRPr="00777DD9" w:rsidRDefault="00584EAD" w:rsidP="00584EAD">
      <w:pPr>
        <w:spacing w:after="240"/>
      </w:pPr>
    </w:p>
    <w:p w:rsidR="00117D68" w:rsidRPr="00117D68" w:rsidRDefault="00117D68" w:rsidP="00117D68">
      <w:pPr>
        <w:spacing w:after="240"/>
      </w:pPr>
      <w:r>
        <w:t>Stuttgart</w:t>
      </w:r>
      <w:r w:rsidR="00584EAD" w:rsidRPr="00117D68">
        <w:t xml:space="preserve">, </w:t>
      </w:r>
      <w:r>
        <w:t>05.08.2019</w:t>
      </w:r>
      <w:r w:rsidR="00584EAD" w:rsidRPr="00117D68">
        <w:br/>
      </w:r>
      <w:r w:rsidRPr="00117D68">
        <w:t xml:space="preserve">Die Mitarbeiter im Service von Koenig &amp; Bauer MetalPrint unterstützen ihre Kunden mit einer umfassenden Palette an Serviceprodukten, um so eine reibungslose und unterbrechungsfreie Produktion der betreuten Druck- und Lackierlinien sicherzustellen – Tag für Tag und weltweit. Dabei liefert Koenig &amp; Bauer MetalPrint nicht nur Original-Ersatzteile. Die Experten und Problemlöser von MetalPrint bieten Hilfe und Unterstützung und stehen stets mit Rat und Tat zur Seite – egal ob es sich dabei um eine neue, hochproduktive MetalStar3 Druckmaschine handelt oder um einen Klassiker aus vergangenen Zeiten, der bereits seit Jahrzehnten treu seinen Dienst tut. „Unser Service-Portfolio basiert hauptsächlich auf vier Pfeilern: Original-Ersatzteile, Upgrades, Maschinenwartungen sowie Hotline Support. Dabei steht der Erfolg unserer Kunden immer im Vordergrund“, sagt Jochen </w:t>
      </w:r>
      <w:proofErr w:type="spellStart"/>
      <w:r w:rsidRPr="00117D68">
        <w:t>Baudisch</w:t>
      </w:r>
      <w:proofErr w:type="spellEnd"/>
      <w:r w:rsidRPr="00117D68">
        <w:t xml:space="preserve">, Bereichsleiter After </w:t>
      </w:r>
      <w:proofErr w:type="spellStart"/>
      <w:r w:rsidRPr="00117D68">
        <w:t>Sales</w:t>
      </w:r>
      <w:proofErr w:type="spellEnd"/>
      <w:r w:rsidRPr="00117D68">
        <w:t xml:space="preserve"> bei Koenig &amp; Bauer MetalPrint.</w:t>
      </w:r>
    </w:p>
    <w:p w:rsidR="00117D68" w:rsidRPr="00117D68" w:rsidRDefault="00117D68" w:rsidP="00117D68">
      <w:pPr>
        <w:pStyle w:val="berschrift3"/>
      </w:pPr>
      <w:r w:rsidRPr="00117D68">
        <w:t>Original-Ersatzteile</w:t>
      </w:r>
    </w:p>
    <w:p w:rsidR="00117D68" w:rsidRPr="00117D68" w:rsidRDefault="00117D68" w:rsidP="00117D68">
      <w:pPr>
        <w:spacing w:after="240"/>
      </w:pPr>
      <w:r w:rsidRPr="00117D68">
        <w:t>Koenig &amp; Bauer MetalPrint entwickelt und fertigt seit jeher Ersatzteile höchster Qualität, um so die schon legendäre Zuverlässigkeit der Maschinen über lange Zeit aufrechtzuerhalten. Da Koenig &amp; Bauer MetalPrint immer mehr Ersatzteile und Ersatzteilpakete zu sehr attraktiven Konditionen anbietet, lohnt sich ein regelmäßiger Besuch der Homepage ganz besonders, denn hier gibt es stets aktuelle Informationen zu den neusten Aktionen und Angeboten.</w:t>
      </w:r>
    </w:p>
    <w:p w:rsidR="00117D68" w:rsidRPr="00777DD9" w:rsidRDefault="00117D68" w:rsidP="00117D68">
      <w:pPr>
        <w:pStyle w:val="berschrift3"/>
      </w:pPr>
      <w:r w:rsidRPr="00777DD9">
        <w:t>Upgrades</w:t>
      </w:r>
    </w:p>
    <w:p w:rsidR="00117D68" w:rsidRPr="00117D68" w:rsidRDefault="00117D68" w:rsidP="00117D68">
      <w:pPr>
        <w:spacing w:after="240"/>
      </w:pPr>
      <w:r w:rsidRPr="00117D68">
        <w:t xml:space="preserve">„Bei Koenig &amp; Bauer MetalPrint entwickeln wir kontinuierlich Innovationen, um die Leistung unserer Druck- und Lackierlinien weiter zu verbessern. Mit unseren Hardware-Upgrades bleiben unsere Kunden technisch auf dem aktuellen Stand und können so stets auf höchstem Niveau Blechtafeln dekorieren“, erklärt Ivar Emde, Produktmanager Service bei Koenig &amp; Bauer MetalPrint die Philosophie, Kunden jederzeit auf dem aktuellen Stand der Technik zu halten. Solche Upgrades können kleine, einfache Funktionsverbesserungen sein wie zum Beispiel eine Ultraschall-Doppeltafelerkennung am Anleger. Auf der anderen Seite der Skala finden sich aufwändige, elektromechanische Umbauten wie beispielsweise eine Gesamtlinien-Synchronisation für komplexe Tandem-Lackierlinien oder die Nachrüstung einer </w:t>
      </w:r>
      <w:proofErr w:type="spellStart"/>
      <w:r w:rsidRPr="00117D68">
        <w:t>EcoTNV</w:t>
      </w:r>
      <w:proofErr w:type="spellEnd"/>
      <w:r w:rsidRPr="00117D68">
        <w:t xml:space="preserve"> (Thermische-Nachverbrennungsanlage). Ivar Emde ergänzt: „Egal ob kleine Funktions-Upgrades oder große Nachrüstungen – für all unseren Upgrades sind die Kundenvorteile und kurze ROIs entscheidend. So werden bestehende Druck- und Lackierlinien noch besser, schneller und nachhaltiger.“</w:t>
      </w:r>
    </w:p>
    <w:p w:rsidR="00117D68" w:rsidRPr="00117D68" w:rsidRDefault="00117D68" w:rsidP="00117D68">
      <w:pPr>
        <w:pStyle w:val="berschrift3"/>
      </w:pPr>
      <w:r w:rsidRPr="00117D68">
        <w:t>Maschinenwartungen</w:t>
      </w:r>
    </w:p>
    <w:p w:rsidR="00117D68" w:rsidRPr="00117D68" w:rsidRDefault="00117D68" w:rsidP="00117D68">
      <w:pPr>
        <w:spacing w:after="240"/>
      </w:pPr>
      <w:r w:rsidRPr="00117D68">
        <w:t xml:space="preserve">Immer mehr Kunden von Koenig &amp; Bauer MetalPrint erkennen den klaren Zusammenhang zwischen Produktivität und Zuverlässigkeit einerseits und dem Wartungszustand des Equipments. Die aktuellen Select </w:t>
      </w:r>
      <w:proofErr w:type="spellStart"/>
      <w:r w:rsidRPr="00117D68">
        <w:t>Maintain</w:t>
      </w:r>
      <w:proofErr w:type="spellEnd"/>
      <w:r w:rsidRPr="00117D68">
        <w:t xml:space="preserve"> Pakete entsprechen genau diesem Markttrend und helfen dabei, nicht nur unvorhergesehene Probleme an den Linien zu beheben, sondern auch mit präventiven Maßnahmen </w:t>
      </w:r>
      <w:r w:rsidRPr="00117D68">
        <w:lastRenderedPageBreak/>
        <w:t xml:space="preserve">ungeplante Maschinenstillstände zu vermeiden. So werden im Rahmen des Select </w:t>
      </w:r>
      <w:proofErr w:type="spellStart"/>
      <w:r w:rsidRPr="00117D68">
        <w:t>Maintain</w:t>
      </w:r>
      <w:proofErr w:type="spellEnd"/>
      <w:r w:rsidRPr="00117D68">
        <w:t xml:space="preserve"> Programmes nicht nur präventive Wartungen und Funktionsüberprüfungen gemäß Checkliste des Herstellers durchgeführt, sondern zum Beispiel auch jährliche Sicherheitsüberprüfungen an den Blechtafeltrocknern. Selbstverständlich wird bei jedem Wartungseinsatz der technische Status der überprüften Maschinen oder Anlagen sorgfältig dokumentiert und Empfehlungen für weitere Verbesserungen gemeinsam mit den Kunden besprochen.  </w:t>
      </w:r>
    </w:p>
    <w:p w:rsidR="00117D68" w:rsidRPr="00777DD9" w:rsidRDefault="00117D68" w:rsidP="00117D68">
      <w:pPr>
        <w:pStyle w:val="berschrift3"/>
      </w:pPr>
      <w:r w:rsidRPr="00777DD9">
        <w:t>24/7 Hotline</w:t>
      </w:r>
    </w:p>
    <w:p w:rsidR="00117D68" w:rsidRDefault="00117D68" w:rsidP="00117D68">
      <w:pPr>
        <w:spacing w:after="240"/>
      </w:pPr>
      <w:r w:rsidRPr="00117D68">
        <w:t xml:space="preserve">Blechdrucker auf der ganzen Welt können nun rund um die Uhr Kontakt zur Hotline von Koenig &amp; Bauer MetalPrint aufnehmen. Über eine direkte Online-Verbindung rufen Fernwartungs-Experten Diagnose-, Software- und Kontrolldaten ab. So können fast 80 % aller Fälle innerhalb kurzer Zeit erfolgreich gelöst werden und die Druck- und Lackierlinien sind schnell wieder einsatzbereit. Ohne Anreise eines Technikers und ohne lange Wartezeiten. „Auf diese Weise stellen wir einen schnellen und kostengünstigen Zugang zu den Linien unserer Kunden sicher“, sagt Tolga Turan, Leiter Kundendienst Technik bei Koenig &amp; Bauer MetalPrint. „Und das Beste ist: mit dem Select Remote Paket können sich unsere Kunden zu einer attraktiven Flatrate den Zugriff auf unser Expertenteam sichern“ fasst Tolga Turan zusammen. Natürlich ist für alle älteren Maschinen die noch über ein herkömmliches Analog-Modem verfügen ein Upgrade auf eine moderne Breitbandlösung verfügbar. </w:t>
      </w:r>
    </w:p>
    <w:p w:rsidR="00584EAD" w:rsidRDefault="00BC4F56" w:rsidP="00584EAD">
      <w:pPr>
        <w:spacing w:after="240"/>
      </w:pPr>
      <w:r w:rsidRPr="00117D68">
        <w:rPr>
          <w:rStyle w:val="berschrift4Zchn"/>
          <w:lang w:val="de-DE"/>
        </w:rPr>
        <w:t>Foto</w:t>
      </w:r>
      <w:r w:rsidR="00117D68" w:rsidRPr="00117D68">
        <w:rPr>
          <w:rStyle w:val="berschrift4Zchn"/>
          <w:lang w:val="de-DE"/>
        </w:rPr>
        <w:t xml:space="preserve"> 1</w:t>
      </w:r>
      <w:r w:rsidR="0099606A" w:rsidRPr="00117D68">
        <w:rPr>
          <w:rStyle w:val="berschrift4Zchn"/>
          <w:lang w:val="de-DE"/>
        </w:rPr>
        <w:t>:</w:t>
      </w:r>
      <w:r w:rsidR="00117D68">
        <w:br/>
      </w:r>
      <w:r w:rsidR="00117D68" w:rsidRPr="00117D68">
        <w:t>Wenn jede Sekunde zählt: Schnelle und interaktive Unterstützu</w:t>
      </w:r>
      <w:r w:rsidR="00117D68">
        <w:t>ng über Visual Customer Support</w:t>
      </w:r>
    </w:p>
    <w:p w:rsidR="00117D68" w:rsidRPr="008042E3" w:rsidRDefault="00117D68" w:rsidP="00584EAD">
      <w:pPr>
        <w:spacing w:after="240"/>
      </w:pPr>
      <w:r w:rsidRPr="00777DD9">
        <w:rPr>
          <w:rStyle w:val="berschrift4Zchn"/>
          <w:lang w:val="de-DE"/>
        </w:rPr>
        <w:t>Foto 2:</w:t>
      </w:r>
      <w:r>
        <w:t xml:space="preserve"> </w:t>
      </w:r>
      <w:r>
        <w:br/>
      </w:r>
      <w:r w:rsidR="00777DD9">
        <w:t>I</w:t>
      </w:r>
      <w:bookmarkStart w:id="0" w:name="_GoBack"/>
      <w:bookmarkEnd w:id="0"/>
      <w:r w:rsidRPr="00117D68">
        <w:t>m Anleger kann es immer wieder zu mangelhafter Trennung der Blechtafeln kommen. Mit der Doppeltafelkontrolle werden zwei oder mehr übereinander liegende Tafeln zuverlässig mit Hilfe eines Ultraschallsensors erkannt.</w:t>
      </w:r>
    </w:p>
    <w:p w:rsidR="00584EAD" w:rsidRDefault="00584EAD" w:rsidP="00584EAD">
      <w:pPr>
        <w:spacing w:after="240"/>
      </w:pPr>
      <w:r w:rsidRPr="00BC4F56">
        <w:rPr>
          <w:b/>
        </w:rPr>
        <w:t>Ansprechpartner für die Presse</w:t>
      </w:r>
      <w:r>
        <w:br/>
      </w:r>
      <w:r w:rsidR="00117D68">
        <w:t>Koenig &amp; Bauer MetalPrint GmbH</w:t>
      </w:r>
      <w:r>
        <w:br/>
      </w:r>
      <w:r w:rsidR="00117D68">
        <w:t>Ursula Bauer</w:t>
      </w:r>
      <w:r>
        <w:br/>
        <w:t>T +</w:t>
      </w:r>
      <w:r w:rsidR="00117D68">
        <w:t>74 711 66971-859</w:t>
      </w:r>
      <w:r>
        <w:br/>
        <w:t xml:space="preserve">M </w:t>
      </w:r>
      <w:hyperlink r:id="rId8" w:history="1">
        <w:r w:rsidR="00117D68" w:rsidRPr="00117D68">
          <w:rPr>
            <w:rStyle w:val="Hyperlink"/>
          </w:rPr>
          <w:t>ursula.bauer@kba-metalprint.de</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777DD9" w:rsidP="00647A4F">
    <w:pPr>
      <w:pStyle w:val="Fuzeile"/>
      <w:spacing w:after="240"/>
    </w:pPr>
    <w:sdt>
      <w:sdtPr>
        <w:alias w:val="Titel"/>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117D68">
          <w:t xml:space="preserve">     </w:t>
        </w:r>
      </w:sdtContent>
    </w:sdt>
    <w:r w:rsidR="00117D68" w:rsidRPr="00117D68">
      <w:t xml:space="preserve"> Stets zu Ihren Diensten – der Service der Koenig &amp; Bauer MetalPrint</w:t>
    </w:r>
    <w:r w:rsidR="00002FD9">
      <w:t xml:space="preserve"> |</w:t>
    </w:r>
    <w:r w:rsidR="00673988">
      <w:t xml:space="preserve"> </w:t>
    </w:r>
    <w:r w:rsidR="00432594">
      <w:fldChar w:fldCharType="begin"/>
    </w:r>
    <w:r w:rsidR="00673988">
      <w:instrText xml:space="preserve"> PAGE </w:instrText>
    </w:r>
    <w:r w:rsidR="00432594">
      <w:fldChar w:fldCharType="separate"/>
    </w:r>
    <w:r>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777DD9" w:rsidP="00EC73CA">
    <w:pPr>
      <w:pStyle w:val="Fuzeile"/>
      <w:spacing w:after="240"/>
    </w:pPr>
    <w:sdt>
      <w:sdtPr>
        <w:alias w:val="Titel"/>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117D68">
          <w:t xml:space="preserve">     </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17D68"/>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4986"/>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77DD9"/>
    <w:rsid w:val="00781882"/>
    <w:rsid w:val="00787DD5"/>
    <w:rsid w:val="007A0146"/>
    <w:rsid w:val="007A1916"/>
    <w:rsid w:val="007C5289"/>
    <w:rsid w:val="007C5C86"/>
    <w:rsid w:val="007D0BC7"/>
    <w:rsid w:val="007E23ED"/>
    <w:rsid w:val="007F034C"/>
    <w:rsid w:val="008042E3"/>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933DB"/>
    <w:rsid w:val="00BA3329"/>
    <w:rsid w:val="00BC4F56"/>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sula.bauer@kba-metalprin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C6CC-58A4-4AB9-AE3D-0D0FDC22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Bausenwein, Linda (ZM)</cp:lastModifiedBy>
  <cp:revision>4</cp:revision>
  <dcterms:created xsi:type="dcterms:W3CDTF">2019-08-05T10:51:00Z</dcterms:created>
  <dcterms:modified xsi:type="dcterms:W3CDTF">2019-08-05T11:05:00Z</dcterms:modified>
</cp:coreProperties>
</file>