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8A" w:rsidRDefault="00DB7818">
      <w:pPr>
        <w:pStyle w:val="Titel"/>
        <w:spacing w:before="0"/>
      </w:pPr>
      <w:r>
        <w:t>Presseinformation</w:t>
      </w:r>
    </w:p>
    <w:p w:rsidR="00F96A8A" w:rsidRDefault="00DB7818">
      <w:pPr>
        <w:pStyle w:val="berschrift1"/>
        <w:spacing w:after="240"/>
      </w:pPr>
      <w:r>
        <w:t xml:space="preserve">QIPC-EAE und Koenig &amp; Bauer gehen Kooperation ein </w:t>
      </w:r>
    </w:p>
    <w:p w:rsidR="00F96A8A" w:rsidRDefault="00DB7818">
      <w:pPr>
        <w:pStyle w:val="Untertitel"/>
        <w:spacing w:after="240"/>
      </w:pPr>
      <w:r>
        <w:t>Koenig &amp; Bauer erweitert sein Produktportfolio im Servicebereich</w:t>
      </w:r>
    </w:p>
    <w:p w:rsidR="00F96A8A" w:rsidRDefault="00F96A8A" w:rsidP="00CF3936">
      <w:pPr>
        <w:spacing w:after="240"/>
      </w:pPr>
    </w:p>
    <w:p w:rsidR="00F96A8A" w:rsidRDefault="00DB7818" w:rsidP="00CF3936">
      <w:pPr>
        <w:pStyle w:val="Listenabsatz"/>
        <w:numPr>
          <w:ilvl w:val="0"/>
          <w:numId w:val="6"/>
        </w:numPr>
        <w:spacing w:after="240"/>
      </w:pPr>
      <w:r w:rsidRPr="00CF3936">
        <w:rPr>
          <w:color w:val="000000"/>
        </w:rPr>
        <w:t>Alles aus einer Hand</w:t>
      </w:r>
    </w:p>
    <w:p w:rsidR="00F96A8A" w:rsidRDefault="00DB7818" w:rsidP="00CF3936">
      <w:pPr>
        <w:pStyle w:val="Listenabsatz"/>
        <w:numPr>
          <w:ilvl w:val="0"/>
          <w:numId w:val="6"/>
        </w:numPr>
        <w:spacing w:after="240"/>
      </w:pPr>
      <w:r w:rsidRPr="00CF3936">
        <w:rPr>
          <w:color w:val="000000"/>
        </w:rPr>
        <w:t>Langfristige Kooperation</w:t>
      </w:r>
    </w:p>
    <w:p w:rsidR="00F96A8A" w:rsidRDefault="00DB7818" w:rsidP="00CF3936">
      <w:pPr>
        <w:pStyle w:val="Listenabsatz"/>
        <w:numPr>
          <w:ilvl w:val="0"/>
          <w:numId w:val="6"/>
        </w:numPr>
        <w:spacing w:after="240"/>
      </w:pPr>
      <w:r w:rsidRPr="00CF3936">
        <w:rPr>
          <w:color w:val="000000"/>
        </w:rPr>
        <w:t>Erstmal für die D-A-CH Regionen</w:t>
      </w:r>
    </w:p>
    <w:p w:rsidR="00F96A8A" w:rsidRDefault="00F96A8A">
      <w:pPr>
        <w:pBdr>
          <w:top w:val="nil"/>
          <w:left w:val="nil"/>
          <w:bottom w:val="nil"/>
          <w:right w:val="nil"/>
          <w:between w:val="nil"/>
        </w:pBdr>
        <w:spacing w:after="240"/>
        <w:ind w:left="340" w:hanging="340"/>
        <w:rPr>
          <w:color w:val="000000"/>
        </w:rPr>
      </w:pPr>
    </w:p>
    <w:p w:rsidR="00F96A8A" w:rsidRDefault="00DB7818">
      <w:pPr>
        <w:spacing w:after="240"/>
      </w:pPr>
      <w:r>
        <w:t>Würzburg, 15.10.2020</w:t>
      </w:r>
      <w:r>
        <w:br/>
        <w:t xml:space="preserve">Der nächste konsequente Schritt in einer bereits sehr lange bestehenden Partnerschaft: Koenig &amp; Bauer erweitert sein Produktportfolio. In Kooperation mit Q.I. Press Controls (QIPC) - EAE wird Koenig &amp; Bauer in Zukunft </w:t>
      </w:r>
      <w:proofErr w:type="spellStart"/>
      <w:r>
        <w:t>Retrofits</w:t>
      </w:r>
      <w:proofErr w:type="spellEnd"/>
      <w:r>
        <w:t xml:space="preserve"> und Servicedienstleistungen für Maschinen mit EAE-Steuerung beziehungsweise QI-Optische Mess- und Regelsystemen anbieten.</w:t>
      </w:r>
    </w:p>
    <w:p w:rsidR="00F96A8A" w:rsidRDefault="00DB7818">
      <w:pPr>
        <w:spacing w:after="240"/>
      </w:pPr>
      <w:r>
        <w:t>„Unsere Kunden möchten einen Ansprechpartner. Die Möglichkeit haben Sie jetzt. Wir haben in der Vergangenheit schon immer vertrauensvoll mit QIPC-EAE zusammengearbeitet – daher ist diese Vertriebskooperation ein logischer Schritt“, so Thomas Potzkai, Bereichsleiter Service bei Koenig &amp; Bauer</w:t>
      </w:r>
      <w:r w:rsidR="00B05F37">
        <w:t xml:space="preserve"> Digital &amp; Webfed</w:t>
      </w:r>
      <w:bookmarkStart w:id="0" w:name="_GoBack"/>
      <w:bookmarkEnd w:id="0"/>
      <w:r>
        <w:t xml:space="preserve">. Die Kooperation wird sich zunächst auf Koenig &amp; Bauer-Kunden in den D-A-CH Regionen beziehen. Menno Jansen, Geschäftsführer von QIPC-EAE: „Es ist für alle Seiten eine </w:t>
      </w:r>
      <w:proofErr w:type="spellStart"/>
      <w:r>
        <w:t>Win</w:t>
      </w:r>
      <w:proofErr w:type="spellEnd"/>
      <w:r>
        <w:t>-</w:t>
      </w:r>
      <w:proofErr w:type="spellStart"/>
      <w:r>
        <w:t>Win</w:t>
      </w:r>
      <w:proofErr w:type="spellEnd"/>
      <w:r>
        <w:t xml:space="preserve">-Situation. Wir freuen, dass die Zusammenarbeit mit Koenig &amp; Bauer nun noch enger wird.“ In Zukunft sollen dann weitere Gebiete und Druckmaschinen von anderen Anbietern in das Portfolio mit aufgenommen werden. </w:t>
      </w:r>
    </w:p>
    <w:p w:rsidR="00F96A8A" w:rsidRDefault="00DB7818">
      <w:pPr>
        <w:spacing w:after="240"/>
      </w:pPr>
      <w:r>
        <w:t xml:space="preserve">Bereits vor zwei Jahren sind Koenig &amp; Bauer und S.E.M. Servicegesellschaft mit großem Erfolg eine Kooperation eingegangen. </w:t>
      </w:r>
    </w:p>
    <w:p w:rsidR="00F96A8A" w:rsidRPr="00B05F37" w:rsidRDefault="00DB7818">
      <w:pPr>
        <w:pStyle w:val="berschrift4"/>
        <w:rPr>
          <w:lang w:val="de-DE"/>
        </w:rPr>
      </w:pPr>
      <w:r w:rsidRPr="00B05F37">
        <w:rPr>
          <w:lang w:val="de-DE"/>
        </w:rPr>
        <w:t>Foto 1:</w:t>
      </w:r>
    </w:p>
    <w:p w:rsidR="00F96A8A" w:rsidRDefault="00DB7818">
      <w:pPr>
        <w:spacing w:after="240"/>
      </w:pPr>
      <w:r>
        <w:t xml:space="preserve">Bei der Unterzeichnung der Kooperation (v.l.n.r.): Menno Jansen, Chairman QIPC-EAE Gruppe und  Thomas Potzkai, Bereichsleiter Service Koenig &amp; Bauer Digital &amp; </w:t>
      </w:r>
      <w:proofErr w:type="spellStart"/>
      <w:r>
        <w:t>Webfed</w:t>
      </w:r>
      <w:proofErr w:type="spellEnd"/>
      <w:r>
        <w:t xml:space="preserve">   </w:t>
      </w:r>
    </w:p>
    <w:p w:rsidR="00F96A8A" w:rsidRDefault="00DB7818">
      <w:pPr>
        <w:spacing w:after="240"/>
      </w:pPr>
      <w:r>
        <w:rPr>
          <w:b/>
        </w:rPr>
        <w:t>Ansprechpartner für die Presse</w:t>
      </w:r>
      <w:r>
        <w:br/>
        <w:t xml:space="preserve">Koenig &amp; Bauer Digital &amp; </w:t>
      </w:r>
      <w:proofErr w:type="spellStart"/>
      <w:r>
        <w:t>Webfed</w:t>
      </w:r>
      <w:proofErr w:type="spellEnd"/>
      <w:r>
        <w:t xml:space="preserve"> AG &amp; Co. KG</w:t>
      </w:r>
      <w:r>
        <w:br/>
        <w:t>Henning Düber</w:t>
      </w:r>
      <w:r>
        <w:br/>
        <w:t>T +49 931 909-4039</w:t>
      </w:r>
      <w:r>
        <w:br/>
        <w:t xml:space="preserve">M </w:t>
      </w:r>
      <w:hyperlink r:id="rId8">
        <w:r>
          <w:rPr>
            <w:color w:val="F02D32"/>
          </w:rPr>
          <w:t>henning.dueber@koenig-bauer.com</w:t>
        </w:r>
      </w:hyperlink>
    </w:p>
    <w:p w:rsidR="00F96A8A" w:rsidRPr="00B05F37" w:rsidRDefault="00DB7818">
      <w:pPr>
        <w:pStyle w:val="berschrift4"/>
        <w:rPr>
          <w:lang w:val="de-DE"/>
        </w:rPr>
      </w:pPr>
      <w:r w:rsidRPr="00B05F37">
        <w:rPr>
          <w:lang w:val="de-DE"/>
        </w:rPr>
        <w:lastRenderedPageBreak/>
        <w:t>Über Koenig &amp; Bauer</w:t>
      </w:r>
    </w:p>
    <w:p w:rsidR="00F96A8A" w:rsidRDefault="00DB7818">
      <w:pPr>
        <w:spacing w:after="240"/>
      </w:pPr>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2019 erwirtschafteten die 5.700 hoch qualifizierten Mitarbeiterinnen und Mitarbeiter weltweit einen Jahresumsatz von über 1,2 Milliarden Euro. </w:t>
      </w:r>
    </w:p>
    <w:p w:rsidR="00F96A8A" w:rsidRDefault="00DB7818">
      <w:pPr>
        <w:spacing w:after="240"/>
        <w:rPr>
          <w:color w:val="F02D32"/>
        </w:rPr>
      </w:pPr>
      <w:r>
        <w:t xml:space="preserve">Weitere Informationen unter </w:t>
      </w:r>
      <w:hyperlink r:id="rId9">
        <w:r>
          <w:rPr>
            <w:color w:val="F02D32"/>
          </w:rPr>
          <w:t>www.koenig-bauer.com</w:t>
        </w:r>
      </w:hyperlink>
    </w:p>
    <w:p w:rsidR="00F96A8A" w:rsidRDefault="00F96A8A">
      <w:pPr>
        <w:spacing w:after="240"/>
      </w:pPr>
    </w:p>
    <w:p w:rsidR="00F96A8A" w:rsidRDefault="00DB7818">
      <w:pPr>
        <w:spacing w:after="240"/>
        <w:rPr>
          <w:b/>
        </w:rPr>
      </w:pPr>
      <w:bookmarkStart w:id="1" w:name="_heading=h.gjdgxs" w:colFirst="0" w:colLast="0"/>
      <w:bookmarkEnd w:id="1"/>
      <w:r>
        <w:rPr>
          <w:b/>
        </w:rPr>
        <w:t xml:space="preserve">Über Q.I. Press Controls:                                                                                                                   </w:t>
      </w:r>
      <w:r>
        <w:t>Q.I. Press Controls entwickelt und liefert innovative optische Mess- und Regelsysteme in hoher Qualität. Wir sind weltweit aktiv in der Druckindustrie für Zeitungen und Zeitschriften. Unsere Lösungen werden mit und durch ein weltweites Servicenetzwerk unterstützt. Unsere zuverlässig arbeitenden Systeme sind auf bestehenden und neuen Druckmaschinen ausgelegt und generieren für unsere Kunden bessere Ergebnisse.</w:t>
      </w:r>
    </w:p>
    <w:p w:rsidR="00F96A8A" w:rsidRDefault="00DB7818">
      <w:pPr>
        <w:spacing w:after="240"/>
        <w:rPr>
          <w:b/>
        </w:rPr>
      </w:pPr>
      <w:r>
        <w:rPr>
          <w:b/>
        </w:rPr>
        <w:t xml:space="preserve">Über EAE:                                                                                                                                            </w:t>
      </w:r>
      <w:r>
        <w:t>Das Unternehmen mit Sitz in Ahrensburg ist in den Bereichen Grafische Industrie, Schaltanlagentechnik und Automatisierungstechnik aktiv. Das 1962 von Richard Ewert gegründete Unternehmen ist der führende Anbieter von Steuerungen, Automatisierungslösungen und Software für Zeitungsdruckhäuser. Sie werden in allen Bereichen einer Druckerei eingesetzt – von der Vorstufe bis zum Versand.</w:t>
      </w:r>
    </w:p>
    <w:sectPr w:rsidR="00F96A8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80" w:rsidRDefault="00962580">
      <w:pPr>
        <w:spacing w:after="240" w:line="240" w:lineRule="auto"/>
      </w:pPr>
      <w:r>
        <w:separator/>
      </w:r>
    </w:p>
  </w:endnote>
  <w:endnote w:type="continuationSeparator" w:id="0">
    <w:p w:rsidR="00962580" w:rsidRDefault="00962580">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F96A8A">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DB7818">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QIPC-EAE und Koenig &amp; Bauer gehen Kooperation ein</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B05F37">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DB7818">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80" w:rsidRDefault="00962580">
      <w:pPr>
        <w:spacing w:after="240" w:line="240" w:lineRule="auto"/>
      </w:pPr>
      <w:r>
        <w:separator/>
      </w:r>
    </w:p>
  </w:footnote>
  <w:footnote w:type="continuationSeparator" w:id="0">
    <w:p w:rsidR="00962580" w:rsidRDefault="00962580">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F96A8A">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DB7818">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8A" w:rsidRDefault="00DB7818">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A2F4A"/>
    <w:multiLevelType w:val="hybridMultilevel"/>
    <w:tmpl w:val="E9C25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AE559E"/>
    <w:multiLevelType w:val="multilevel"/>
    <w:tmpl w:val="96FCEA7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2" w15:restartNumberingAfterBreak="0">
    <w:nsid w:val="7C5651BA"/>
    <w:multiLevelType w:val="multilevel"/>
    <w:tmpl w:val="3280BCEE"/>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8A"/>
    <w:rsid w:val="00962580"/>
    <w:rsid w:val="00B05F37"/>
    <w:rsid w:val="00CF3936"/>
    <w:rsid w:val="00DB7818"/>
    <w:rsid w:val="00F96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5C9B0-07AB-42D4-B0C6-73D16064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rPr>
      <w:lang w:val="en-US"/>
    </w:r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5k+cMBd0LApw0dN+6RUaExjiA==">AMUW2mUzieWPjn8zNdY8TSItk4QQahVL5weBPVPyvOmpvOFScLRIMOwwFCPowHiH6Tf6T4nDvNnJqIoBsbEjNeU6maihYRqPdAV1tpojBWXD6pJOpVBLFZm80+fIAWI1El+7ABupkQgU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3243</Characters>
  <Application>Microsoft Office Word</Application>
  <DocSecurity>0</DocSecurity>
  <Lines>27</Lines>
  <Paragraphs>7</Paragraphs>
  <ScaleCrop>false</ScaleCrop>
  <Company>Koenig &amp; Bauer AG</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3</cp:revision>
  <dcterms:created xsi:type="dcterms:W3CDTF">2019-09-24T13:29:00Z</dcterms:created>
  <dcterms:modified xsi:type="dcterms:W3CDTF">2020-10-14T06:24:00Z</dcterms:modified>
</cp:coreProperties>
</file>