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tabs>
          <w:tab w:val="left" w:leader="none" w:pos="850.3937007874015"/>
        </w:tabs>
        <w:rPr/>
      </w:pPr>
      <w:bookmarkStart w:colFirst="0" w:colLast="0" w:name="_gjdgxs" w:id="0"/>
      <w:bookmarkEnd w:id="0"/>
      <w:r w:rsidDel="00000000" w:rsidR="00000000" w:rsidRPr="00000000">
        <w:rPr>
          <w:rtl w:val="0"/>
        </w:rPr>
        <w:t xml:space="preserve">Presseinformation</w:t>
      </w:r>
      <w:r w:rsidDel="00000000" w:rsidR="00000000" w:rsidRPr="00000000">
        <w:rPr>
          <w:rtl w:val="0"/>
        </w:rPr>
        <w:t xml:space="preserve"> </w:t>
      </w:r>
    </w:p>
    <w:p w:rsidR="00000000" w:rsidDel="00000000" w:rsidP="00000000" w:rsidRDefault="00000000" w:rsidRPr="00000000" w14:paraId="00000002">
      <w:pPr>
        <w:pStyle w:val="Heading1"/>
        <w:pageBreakBefore w:val="0"/>
        <w:tabs>
          <w:tab w:val="left" w:leader="none" w:pos="850.3937007874015"/>
        </w:tabs>
        <w:rPr/>
      </w:pPr>
      <w:bookmarkStart w:colFirst="0" w:colLast="0" w:name="_37q07cp91crq" w:id="1"/>
      <w:bookmarkEnd w:id="1"/>
      <w:r w:rsidDel="00000000" w:rsidR="00000000" w:rsidRPr="00000000">
        <w:rPr>
          <w:rtl w:val="0"/>
        </w:rPr>
        <w:t xml:space="preserve">Digitaldruck als Zukunftstechnologie des Buchdrucks</w:t>
      </w:r>
    </w:p>
    <w:p w:rsidR="00000000" w:rsidDel="00000000" w:rsidP="00000000" w:rsidRDefault="00000000" w:rsidRPr="00000000" w14:paraId="00000003">
      <w:pPr>
        <w:pStyle w:val="Subtitle"/>
        <w:pageBreakBefore w:val="0"/>
        <w:rPr/>
      </w:pPr>
      <w:r w:rsidDel="00000000" w:rsidR="00000000" w:rsidRPr="00000000">
        <w:rPr>
          <w:rtl w:val="0"/>
        </w:rPr>
        <w:t xml:space="preserve">Grafica Veneta und Koenig &amp; Bauer entwickeln mit der RotaJET 130 die Zukunft des Digitaldrucks für die Verlagsbranche </w:t>
      </w:r>
    </w:p>
    <w:p w:rsidR="00000000" w:rsidDel="00000000" w:rsidP="00000000" w:rsidRDefault="00000000" w:rsidRPr="00000000" w14:paraId="00000004">
      <w:pPr>
        <w:pageBreakBefore w:val="0"/>
        <w:spacing w:after="240" w:lineRule="auto"/>
        <w:rPr/>
      </w:pPr>
      <w:r w:rsidDel="00000000" w:rsidR="00000000" w:rsidRPr="00000000">
        <w:rPr>
          <w:rtl w:val="0"/>
        </w:rPr>
      </w:r>
    </w:p>
    <w:p w:rsidR="00000000" w:rsidDel="00000000" w:rsidP="00000000" w:rsidRDefault="00000000" w:rsidRPr="00000000" w14:paraId="00000005">
      <w:pPr>
        <w:pageBreakBefore w:val="0"/>
        <w:numPr>
          <w:ilvl w:val="0"/>
          <w:numId w:val="1"/>
        </w:numPr>
        <w:spacing w:after="0" w:lineRule="auto"/>
        <w:ind w:left="340"/>
      </w:pPr>
      <w:r w:rsidDel="00000000" w:rsidR="00000000" w:rsidRPr="00000000">
        <w:rPr>
          <w:rtl w:val="0"/>
        </w:rPr>
        <w:t xml:space="preserve">Grafica Veneta setzt mit zwei Installationen auf die RotaJET 130 von Koenig &amp; Bauer</w:t>
      </w:r>
    </w:p>
    <w:p w:rsidR="00000000" w:rsidDel="00000000" w:rsidP="00000000" w:rsidRDefault="00000000" w:rsidRPr="00000000" w14:paraId="00000006">
      <w:pPr>
        <w:pageBreakBefore w:val="0"/>
        <w:numPr>
          <w:ilvl w:val="0"/>
          <w:numId w:val="1"/>
        </w:numPr>
        <w:spacing w:after="0" w:lineRule="auto"/>
        <w:ind w:left="340"/>
      </w:pPr>
      <w:r w:rsidDel="00000000" w:rsidR="00000000" w:rsidRPr="00000000">
        <w:rPr>
          <w:rtl w:val="0"/>
        </w:rPr>
        <w:t xml:space="preserve">Digitaldruck mit der Koenig &amp; Bauer RotaJET 130</w:t>
      </w:r>
      <w:r w:rsidDel="00000000" w:rsidR="00000000" w:rsidRPr="00000000">
        <w:rPr>
          <w:rtl w:val="0"/>
        </w:rPr>
        <w:t xml:space="preserve"> ist für Grafica Veneta der Schlüssel zu neuen Geschäftsmodellen</w:t>
      </w:r>
    </w:p>
    <w:p w:rsidR="00000000" w:rsidDel="00000000" w:rsidP="00000000" w:rsidRDefault="00000000" w:rsidRPr="00000000" w14:paraId="00000007">
      <w:pPr>
        <w:pageBreakBefore w:val="0"/>
        <w:numPr>
          <w:ilvl w:val="0"/>
          <w:numId w:val="1"/>
        </w:numPr>
        <w:spacing w:after="0" w:lineRule="auto"/>
        <w:ind w:left="340"/>
      </w:pPr>
      <w:r w:rsidDel="00000000" w:rsidR="00000000" w:rsidRPr="00000000">
        <w:rPr>
          <w:rtl w:val="0"/>
        </w:rPr>
        <w:t xml:space="preserve">Zwei Maschinen ermöglichen schnelle Reaktion auf veränderte Marktanforderungen</w:t>
      </w:r>
    </w:p>
    <w:p w:rsidR="00000000" w:rsidDel="00000000" w:rsidP="00000000" w:rsidRDefault="00000000" w:rsidRPr="00000000" w14:paraId="00000008">
      <w:pPr>
        <w:pageBreakBefore w:val="0"/>
        <w:spacing w:after="240" w:lineRule="auto"/>
        <w:rPr/>
      </w:pPr>
      <w:r w:rsidDel="00000000" w:rsidR="00000000" w:rsidRPr="00000000">
        <w:rPr>
          <w:b w:val="1"/>
          <w:color w:val="002355"/>
          <w:sz w:val="40"/>
          <w:szCs w:val="40"/>
          <w:rtl w:val="0"/>
        </w:rPr>
        <w:br w:type="textWrapping"/>
      </w:r>
      <w:r w:rsidDel="00000000" w:rsidR="00000000" w:rsidRPr="00000000">
        <w:rPr>
          <w:rtl w:val="0"/>
        </w:rPr>
        <w:t xml:space="preserve">Würzburg</w:t>
      </w:r>
      <w:r w:rsidDel="00000000" w:rsidR="00000000" w:rsidRPr="00000000">
        <w:rPr>
          <w:rtl w:val="0"/>
        </w:rPr>
        <w:t xml:space="preserve">, 20.04.2023</w:t>
        <w:br w:type="textWrapping"/>
        <w:t xml:space="preserve">Grafica Veneta, ein führendes Unternehmen im Bereich des Buchdrucks, setzt für seine digitale Zukunft auf die Single-Pass-Digitaldruckmaschine RotaJET von Koenig &amp; Bauer. „Die Anlage ist seit Herbst 2022 in Produktion und wird den Markt im Buchdruck nachhaltig prägen“, so Firmeninhaber Fabio Franceschi. „Unsere langjährige und vertrauensvolle Partnerschaft mit Koenig &amp; Bauer weiten wir nun auch auf den Digitaldruck aus. Die RotaJET eröffnet uns und unseren Kund:innen in vielen Bereichen neue Perspektiven. Dank der digitalen Technologie dieser Maschine können wir auch kleinere Auflagen effizienter und in bester Qualität drucken und so schnell auf veränderte Marktanforderungen reagieren.“</w:t>
      </w:r>
      <w:r w:rsidDel="00000000" w:rsidR="00000000" w:rsidRPr="00000000">
        <w:rPr>
          <w:rtl w:val="0"/>
        </w:rPr>
      </w:r>
    </w:p>
    <w:p w:rsidR="00000000" w:rsidDel="00000000" w:rsidP="00000000" w:rsidRDefault="00000000" w:rsidRPr="00000000" w14:paraId="00000009">
      <w:pPr>
        <w:pStyle w:val="Heading3"/>
        <w:pageBreakBefore w:val="0"/>
        <w:rPr/>
      </w:pPr>
      <w:bookmarkStart w:colFirst="0" w:colLast="0" w:name="_fe1xcnq5idkd" w:id="2"/>
      <w:bookmarkEnd w:id="2"/>
      <w:r w:rsidDel="00000000" w:rsidR="00000000" w:rsidRPr="00000000">
        <w:rPr>
          <w:rtl w:val="0"/>
        </w:rPr>
        <w:t xml:space="preserve">Von der Rolle zum fertigen Buch in Trebaseleghe ...</w:t>
      </w:r>
    </w:p>
    <w:p w:rsidR="00000000" w:rsidDel="00000000" w:rsidP="00000000" w:rsidRDefault="00000000" w:rsidRPr="00000000" w14:paraId="0000000A">
      <w:pPr>
        <w:pageBreakBefore w:val="0"/>
        <w:rPr/>
      </w:pPr>
      <w:r w:rsidDel="00000000" w:rsidR="00000000" w:rsidRPr="00000000">
        <w:rPr>
          <w:rtl w:val="0"/>
        </w:rPr>
        <w:t xml:space="preserve">Die Kombination aus Präzisionsmechanik, modernster Inkjet-Druckkopftechnologie und RotaColor-Polymer-Pigment-Tinten bildet die Grundlage für eine hohe Druckqualität mit Auflösungen von bis zu 1200 x 1200 dpi. Die beiden Druckwerke für die 1/1-Inkjet-Produktion werden über einen automatischen Rollenwechsler Pastomat mit Rollenlogistiksystem Patras M mit Papier versorgt. Entscheidend für die hohe Druck- und Registerqualität, auch auf dünnem Papier, sind die intelligente Bahnführung über zwei Zentralzylinder und die optimal abgestimmten IR-/Heißlufttrockner der RotaJET 130. Die neue Maschine wurde im Werk Trebaseleghe bei Venedig direkt neben den drei bestehenden 48-Seiten-Compacta-Rotationen und sechs weiteren 1/1-Farbmaschinen installiert. Die neue Anlage ist für die 1/1-Produktion mit einer Bahnbreite von 1.300 mm ausgelegt und direkt an eine automatisierte Weiterverarbeitungslinie angeschlossen, die eine effiziente Produktion von hochwertigen Büchern in einem einzigen Prozessschritt ermöglicht.</w:t>
      </w:r>
    </w:p>
    <w:p w:rsidR="00000000" w:rsidDel="00000000" w:rsidP="00000000" w:rsidRDefault="00000000" w:rsidRPr="00000000" w14:paraId="0000000B">
      <w:pPr>
        <w:pStyle w:val="Heading3"/>
        <w:pageBreakBefore w:val="0"/>
        <w:rPr/>
      </w:pPr>
      <w:bookmarkStart w:colFirst="0" w:colLast="0" w:name="_3znysh7" w:id="3"/>
      <w:bookmarkEnd w:id="3"/>
      <w:r w:rsidDel="00000000" w:rsidR="00000000" w:rsidRPr="00000000">
        <w:rPr>
          <w:rtl w:val="0"/>
        </w:rPr>
        <w:t xml:space="preserve">... und in Melrose Park – Chicago</w:t>
      </w:r>
      <w:r w:rsidDel="00000000" w:rsidR="00000000" w:rsidRPr="00000000">
        <w:rPr>
          <w:rtl w:val="0"/>
        </w:rPr>
      </w:r>
    </w:p>
    <w:p w:rsidR="00000000" w:rsidDel="00000000" w:rsidP="00000000" w:rsidRDefault="00000000" w:rsidRPr="00000000" w14:paraId="0000000C">
      <w:pPr>
        <w:pageBreakBefore w:val="0"/>
        <w:spacing w:after="240" w:lineRule="auto"/>
        <w:rPr/>
      </w:pPr>
      <w:r w:rsidDel="00000000" w:rsidR="00000000" w:rsidRPr="00000000">
        <w:rPr>
          <w:rtl w:val="0"/>
        </w:rPr>
        <w:t xml:space="preserve">Fabio Franceschi führt Grafica Veneta in zweiter Generation. In den letzten Jahren hat er das Unternehmen zu einem der europäischen Marktführer der Branche entwickelt. Das breite Produktportfolio umfasst den Druck von Büchern in allen Auflagengrößen. 2021 hat Grafica Veneta zudem den amerikanischen Buchhersteller „Lake Book Manufacturing LLC“ übernommen. Mit ihr soll sich die erfolgreiche Expansionsstrategie auch auf dem amerikanischen Markt fortsetzen, wobei Digitaldruckkapazitäten ein Schlüsselfaktor für den Erfolg in Übersee sind. Seit Anfang dieses Jahres produziert eine neue RotaJET 130 auch im Werk von Lake Book Manufacturing in Melrose Park im Großraum Chicago, Illinois. Die Konfiguration der gesamten Anlage ist identisch mit der in Italien. Sie ermöglicht es, ein Buch in weniger als einer Minute von der Rohpapierrolle bis zur versandfertigen Palette zu drucken und zu binden. Diese für den Buchdruck revolutionäre Eigenschaft hat das Potenzial, ein neues Geschäftsmodell in der Branche entstehen zu lassen.</w:t>
      </w:r>
    </w:p>
    <w:p w:rsidR="00000000" w:rsidDel="00000000" w:rsidP="00000000" w:rsidRDefault="00000000" w:rsidRPr="00000000" w14:paraId="0000000D">
      <w:pPr>
        <w:pStyle w:val="Heading3"/>
        <w:rPr/>
      </w:pPr>
      <w:bookmarkStart w:colFirst="0" w:colLast="0" w:name="_1mrucffh6jcq" w:id="4"/>
      <w:bookmarkEnd w:id="4"/>
      <w:r w:rsidDel="00000000" w:rsidR="00000000" w:rsidRPr="00000000">
        <w:rPr>
          <w:rtl w:val="0"/>
        </w:rPr>
        <w:t xml:space="preserve">Hohe Bedruckstoff-Flexibilität: Vom Dünndruckpapier bis zum Vollkarton</w:t>
      </w:r>
    </w:p>
    <w:p w:rsidR="00000000" w:rsidDel="00000000" w:rsidP="00000000" w:rsidRDefault="00000000" w:rsidRPr="00000000" w14:paraId="0000000E">
      <w:pPr>
        <w:rPr/>
      </w:pPr>
      <w:r w:rsidDel="00000000" w:rsidR="00000000" w:rsidRPr="00000000">
        <w:rPr>
          <w:rtl w:val="0"/>
        </w:rPr>
        <w:t xml:space="preserve">Die RotaJET ist in der Lage, verschiedenste Substrate zu bedrucken – vom Seidenpapier bis hin zum Vollkarton. Verpackungen, Dekore, Poster, Beipackzettel, Faltschachteln, Bücher oder auch Kaffeetüten – mit der RotaJET ist nahezu alles möglich. „Dieses Projekt zeigt, dass unsere Hochleistungs-Digitaldruckmaschine RotaJET in der Lage ist, auf fast allen Substraten unterschiedliche Produkte zu bedrucken“, so Christoph Müller, </w:t>
      </w:r>
      <w:r w:rsidDel="00000000" w:rsidR="00000000" w:rsidRPr="00000000">
        <w:rPr>
          <w:rtl w:val="0"/>
        </w:rPr>
        <w:t xml:space="preserve">Vorstand Segment Digital &amp; Webfed</w:t>
      </w:r>
      <w:r w:rsidDel="00000000" w:rsidR="00000000" w:rsidRPr="00000000">
        <w:rPr>
          <w:rtl w:val="0"/>
        </w:rPr>
        <w:t xml:space="preserve"> bei Koenig &amp; Bauer</w:t>
      </w:r>
      <w:r w:rsidDel="00000000" w:rsidR="00000000" w:rsidRPr="00000000">
        <w:rPr>
          <w:rtl w:val="0"/>
        </w:rPr>
        <w:t xml:space="preserve">. „Ob Verpackungen, Dekore oder Bücher, die RotaJET ist in allen Marktsegmenten erfolgreich.“ Doch nicht nur im Buchdruck bietet Koenig &amp; Bauer seinen Kund:innen neue Geschäftsmodelle. Mit Abschnittslängen von mehr als fünf Metern ergeben sich beispielsweise auch im Dekordruck völlig neue Möglichkeiten.</w:t>
      </w:r>
      <w:r w:rsidDel="00000000" w:rsidR="00000000" w:rsidRPr="00000000">
        <w:rPr>
          <w:rtl w:val="0"/>
        </w:rPr>
      </w:r>
    </w:p>
    <w:p w:rsidR="00000000" w:rsidDel="00000000" w:rsidP="00000000" w:rsidRDefault="00000000" w:rsidRPr="00000000" w14:paraId="0000000F">
      <w:pPr>
        <w:pageBreakBefore w:val="0"/>
        <w:spacing w:after="240" w:lineRule="auto"/>
        <w:rPr/>
      </w:pPr>
      <w:r w:rsidDel="00000000" w:rsidR="00000000" w:rsidRPr="00000000">
        <w:rPr>
          <w:rtl w:val="0"/>
        </w:rPr>
      </w:r>
    </w:p>
    <w:p w:rsidR="00000000" w:rsidDel="00000000" w:rsidP="00000000" w:rsidRDefault="00000000" w:rsidRPr="00000000" w14:paraId="00000010">
      <w:pPr>
        <w:pStyle w:val="Heading4"/>
        <w:pageBreakBefore w:val="0"/>
        <w:rPr/>
      </w:pPr>
      <w:bookmarkStart w:colFirst="0" w:colLast="0" w:name="_2et92p0" w:id="5"/>
      <w:bookmarkEnd w:id="5"/>
      <w:r w:rsidDel="00000000" w:rsidR="00000000" w:rsidRPr="00000000">
        <w:rPr>
          <w:rtl w:val="0"/>
        </w:rPr>
        <w:t xml:space="preserve">Foto 1:</w:t>
      </w:r>
    </w:p>
    <w:p w:rsidR="00000000" w:rsidDel="00000000" w:rsidP="00000000" w:rsidRDefault="00000000" w:rsidRPr="00000000" w14:paraId="00000011">
      <w:pPr>
        <w:pageBreakBefore w:val="0"/>
        <w:spacing w:after="240" w:lineRule="auto"/>
        <w:rPr/>
      </w:pPr>
      <w:r w:rsidDel="00000000" w:rsidR="00000000" w:rsidRPr="00000000">
        <w:rPr>
          <w:rtl w:val="0"/>
        </w:rPr>
        <w:t xml:space="preserve">Beim Besuch in Würzburg (von links nach rechts): Christoph Müller, Vorstand Segment Digital &amp; Webfed bei Koenig &amp; Bauer, Fabio Franceschi, Inhaber von Grafica Veneta, Nicola und Gianmarco Franceschi, Grafica Veneta</w:t>
      </w:r>
      <w:r w:rsidDel="00000000" w:rsidR="00000000" w:rsidRPr="00000000">
        <w:rPr>
          <w:rtl w:val="0"/>
        </w:rPr>
      </w:r>
    </w:p>
    <w:p w:rsidR="00000000" w:rsidDel="00000000" w:rsidP="00000000" w:rsidRDefault="00000000" w:rsidRPr="00000000" w14:paraId="00000012">
      <w:pPr>
        <w:pStyle w:val="Heading4"/>
        <w:rPr/>
      </w:pPr>
      <w:bookmarkStart w:colFirst="0" w:colLast="0" w:name="_9rytxqbmhwd" w:id="6"/>
      <w:bookmarkEnd w:id="6"/>
      <w:r w:rsidDel="00000000" w:rsidR="00000000" w:rsidRPr="00000000">
        <w:rPr>
          <w:rtl w:val="0"/>
        </w:rPr>
        <w:t xml:space="preserve">Foto 2:</w:t>
      </w:r>
    </w:p>
    <w:p w:rsidR="00000000" w:rsidDel="00000000" w:rsidP="00000000" w:rsidRDefault="00000000" w:rsidRPr="00000000" w14:paraId="00000013">
      <w:pPr>
        <w:rPr/>
      </w:pPr>
      <w:r w:rsidDel="00000000" w:rsidR="00000000" w:rsidRPr="00000000">
        <w:rPr>
          <w:rtl w:val="0"/>
        </w:rPr>
        <w:t xml:space="preserve">Die Hochleistungs-Digitaldruckmaschine RotaJET erweitert die bestehende vertrauensvolle Partnerschaft zwischen Grafica Veneta und Koenig &amp; Bauer</w:t>
      </w:r>
    </w:p>
    <w:p w:rsidR="00000000" w:rsidDel="00000000" w:rsidP="00000000" w:rsidRDefault="00000000" w:rsidRPr="00000000" w14:paraId="00000014">
      <w:pPr>
        <w:pageBreakBefore w:val="0"/>
        <w:spacing w:after="240" w:lineRule="auto"/>
        <w:rPr/>
      </w:pPr>
      <w:r w:rsidDel="00000000" w:rsidR="00000000" w:rsidRPr="00000000">
        <w:rPr>
          <w:rtl w:val="0"/>
        </w:rPr>
      </w:r>
    </w:p>
    <w:p w:rsidR="00000000" w:rsidDel="00000000" w:rsidP="00000000" w:rsidRDefault="00000000" w:rsidRPr="00000000" w14:paraId="00000015">
      <w:pPr>
        <w:pStyle w:val="Heading4"/>
        <w:pageBreakBefore w:val="0"/>
        <w:rPr/>
      </w:pPr>
      <w:bookmarkStart w:colFirst="0" w:colLast="0" w:name="_83ymfun89338" w:id="7"/>
      <w:bookmarkEnd w:id="7"/>
      <w:r w:rsidDel="00000000" w:rsidR="00000000" w:rsidRPr="00000000">
        <w:rPr>
          <w:rtl w:val="0"/>
        </w:rPr>
        <w:t xml:space="preserve">Ansprechpartner für Presse</w:t>
      </w:r>
    </w:p>
    <w:p w:rsidR="00000000" w:rsidDel="00000000" w:rsidP="00000000" w:rsidRDefault="00000000" w:rsidRPr="00000000" w14:paraId="00000016">
      <w:pPr>
        <w:pageBreakBefore w:val="0"/>
        <w:spacing w:line="276" w:lineRule="auto"/>
        <w:rPr/>
      </w:pPr>
      <w:r w:rsidDel="00000000" w:rsidR="00000000" w:rsidRPr="00000000">
        <w:rPr>
          <w:rtl w:val="0"/>
        </w:rPr>
        <w:t xml:space="preserve">Koenig &amp; Bauer Digital &amp; Webfed AG &amp; Co. KG</w:t>
        <w:br w:type="textWrapping"/>
        <w:t xml:space="preserve">Oliver Baar</w:t>
        <w:br w:type="textWrapping"/>
        <w:t xml:space="preserve">+49 931 909-6396</w:t>
        <w:br w:type="textWrapping"/>
      </w:r>
      <w:hyperlink r:id="rId6">
        <w:r w:rsidDel="00000000" w:rsidR="00000000" w:rsidRPr="00000000">
          <w:rPr>
            <w:color w:val="1155cc"/>
            <w:u w:val="single"/>
            <w:rtl w:val="0"/>
          </w:rPr>
          <w:t xml:space="preserve">oliver.baar@koenig-bauer.com</w:t>
        </w:r>
      </w:hyperlink>
      <w:r w:rsidDel="00000000" w:rsidR="00000000" w:rsidRPr="00000000">
        <w:rPr>
          <w:rtl w:val="0"/>
        </w:rPr>
      </w:r>
    </w:p>
    <w:p w:rsidR="00000000" w:rsidDel="00000000" w:rsidP="00000000" w:rsidRDefault="00000000" w:rsidRPr="00000000" w14:paraId="00000017">
      <w:pPr>
        <w:pageBreakBefore w:val="0"/>
        <w:spacing w:line="276" w:lineRule="auto"/>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50.90854545454548" w:lineRule="auto"/>
        <w:ind w:left="0" w:right="0" w:firstLine="0"/>
        <w:jc w:val="left"/>
        <w:rPr>
          <w:b w:val="0"/>
          <w:highlight w:val="white"/>
        </w:rPr>
      </w:pPr>
      <w:r w:rsidDel="00000000" w:rsidR="00000000" w:rsidRPr="00000000">
        <w:rPr>
          <w:b w:val="1"/>
          <w:rtl w:val="0"/>
        </w:rPr>
        <w:t xml:space="preserve">Über Koenig &amp; Bauer</w:t>
      </w:r>
      <w:r w:rsidDel="00000000" w:rsidR="00000000" w:rsidRPr="00000000">
        <w:rPr>
          <w:rtl w:val="0"/>
        </w:rPr>
        <w:br w:type="textWrapping"/>
      </w:r>
      <w:r w:rsidDel="00000000" w:rsidR="00000000" w:rsidRPr="00000000">
        <w:rPr>
          <w:highlight w:val="white"/>
          <w:rtl w:val="0"/>
        </w:rPr>
        <w:t xml:space="preserve">Koenig &amp; Bauer mit Sitz in Würzburg (Deutschland) ist ein weltweit tätiger Druckmaschinenhersteller. Das Unternehmen produziert Maschinen und Software-Lösungen für den gesamten Prozess von Druck und Weiterverarbeitung, schwerpunktmäßig im Bereich der Verpackungen. Anlagen von Koenig &amp; Bauer können nahezu alle Substrate bedrucken – das Portfolio reicht von Banknoten über Karton-, Wellpappe-, Folien-, Blech- und Glasverpackungen bis hin zum Bücher-, Display-, Kennzeichnungs-, Dekor-, Magazin-, Werbe- und Zeitungsdruck. Mit einer über 200-jährigen Geschichte ist Koenig &amp; Bauer der älteste Druckmaschinenhersteller der Welt und beherrscht heute fast alle Druckverfahren. Im gesamten Konzern arbeiten rund 5.500 Menschen. Koenig &amp; Bauer produziert an elf Standorten in Europa und unterhält ein weltweites Vertriebs- und Servicenetzwerk. Der Jahresumsatz im Geschäftsjahr 2022 lag bei rund 1,2 Milliarden Euro.</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50.90854545454548" w:lineRule="auto"/>
        <w:ind w:left="0" w:right="0" w:firstLine="0"/>
        <w:jc w:val="left"/>
        <w:rPr/>
      </w:pPr>
      <w:r w:rsidDel="00000000" w:rsidR="00000000" w:rsidRPr="00000000">
        <w:rPr>
          <w:highlight w:val="white"/>
          <w:rtl w:val="0"/>
        </w:rPr>
        <w:t xml:space="preserve">Weitere Informationen unter </w:t>
      </w:r>
      <w:hyperlink r:id="rId7">
        <w:r w:rsidDel="00000000" w:rsidR="00000000" w:rsidRPr="00000000">
          <w:rPr>
            <w:color w:val="1155cc"/>
            <w:highlight w:val="white"/>
            <w:u w:val="single"/>
            <w:rtl w:val="0"/>
          </w:rPr>
          <w:t xml:space="preserve">www.koenig-bauer.com</w:t>
        </w:r>
      </w:hyperlink>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spacing w:line="276" w:lineRule="auto"/>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361" w:top="2381" w:left="1418" w:right="1418" w:header="102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bl>
    <w:tblPr>
      <w:tblStyle w:val="Table1"/>
      <w:tblW w:w="9781.0" w:type="dxa"/>
      <w:jc w:val="left"/>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bl>
    <w:tblPr>
      <w:tblStyle w:val="Table2"/>
      <w:tblW w:w="9060.0" w:type="dxa"/>
      <w:jc w:val="lef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4530"/>
      <w:gridCol w:w="4530"/>
      <w:tblGridChange w:id="0">
        <w:tblGrid>
          <w:gridCol w:w="4530"/>
          <w:gridCol w:w="4530"/>
        </w:tblGrid>
      </w:tblGridChange>
    </w:tblGrid>
    <w:tr>
      <w:trPr>
        <w:cantSplit w:val="0"/>
        <w:tblHeader w:val="0"/>
      </w:trPr>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sz w:val="14"/>
              <w:szCs w:val="14"/>
            </w:rPr>
          </w:pPr>
          <w:r w:rsidDel="00000000" w:rsidR="00000000" w:rsidRPr="00000000">
            <w:rPr>
              <w:sz w:val="14"/>
              <w:szCs w:val="14"/>
              <w:rtl w:val="0"/>
            </w:rPr>
            <w:t xml:space="preserve">Digitaldruck als Zukunftstechnologie des Buchdrucks</w:t>
          </w:r>
          <w:r w:rsidDel="00000000" w:rsidR="00000000" w:rsidRPr="00000000">
            <w:rPr>
              <w:sz w:val="14"/>
              <w:szCs w:val="14"/>
              <w:rtl w:val="0"/>
            </w:rPr>
            <w:t xml:space="preserve"> | </w:t>
          </w:r>
          <w:r w:rsidDel="00000000" w:rsidR="00000000" w:rsidRPr="00000000">
            <w:rPr>
              <w:sz w:val="14"/>
              <w:szCs w:val="1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Pr>
      <w:drawing>
        <wp:inline distB="0" distT="0" distL="0" distR="0">
          <wp:extent cx="2523600" cy="2160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23600" cy="216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Pr>
      <w:drawing>
        <wp:inline distB="0" distT="0" distL="0" distR="0">
          <wp:extent cx="2524721" cy="2160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240" w:lineRule="auto"/>
    </w:pPr>
    <w:rPr>
      <w:rFonts w:ascii="Arial" w:cs="Arial" w:eastAsia="Arial" w:hAnsi="Arial"/>
      <w:b w:val="1"/>
      <w:color w:val="002355"/>
      <w:sz w:val="40"/>
      <w:szCs w:val="40"/>
    </w:rPr>
  </w:style>
  <w:style w:type="paragraph" w:styleId="Heading2">
    <w:name w:val="heading 2"/>
    <w:basedOn w:val="Normal"/>
    <w:next w:val="Normal"/>
    <w:pPr>
      <w:keepNext w:val="1"/>
      <w:keepLines w:val="1"/>
      <w:pageBreakBefore w:val="0"/>
      <w:spacing w:after="0" w:lineRule="auto"/>
    </w:pPr>
    <w:rPr>
      <w:rFonts w:ascii="Arial" w:cs="Arial" w:eastAsia="Arial" w:hAnsi="Arial"/>
      <w:b w:val="1"/>
      <w:color w:val="002355"/>
      <w:sz w:val="28"/>
      <w:szCs w:val="28"/>
    </w:rPr>
  </w:style>
  <w:style w:type="paragraph" w:styleId="Heading3">
    <w:name w:val="heading 3"/>
    <w:basedOn w:val="Normal"/>
    <w:next w:val="Normal"/>
    <w:pPr>
      <w:keepNext w:val="1"/>
      <w:keepLines w:val="1"/>
      <w:pageBreakBefore w:val="0"/>
      <w:spacing w:after="0" w:lineRule="auto"/>
    </w:pPr>
    <w:rPr>
      <w:rFonts w:ascii="Arial" w:cs="Arial" w:eastAsia="Arial" w:hAnsi="Arial"/>
      <w:b w:val="1"/>
      <w:color w:val="002355"/>
    </w:rPr>
  </w:style>
  <w:style w:type="paragraph" w:styleId="Heading4">
    <w:name w:val="heading 4"/>
    <w:basedOn w:val="Normal"/>
    <w:next w:val="Normal"/>
    <w:pPr>
      <w:keepNext w:val="1"/>
      <w:keepLines w:val="1"/>
      <w:pageBreakBefore w:val="0"/>
      <w:spacing w:after="0" w:lineRule="auto"/>
    </w:pPr>
    <w:rPr>
      <w:rFonts w:ascii="Arial" w:cs="Arial" w:eastAsia="Arial" w:hAnsi="Arial"/>
      <w:b w:val="1"/>
      <w:color w:val="000000"/>
    </w:rPr>
  </w:style>
  <w:style w:type="paragraph" w:styleId="Heading5">
    <w:name w:val="heading 5"/>
    <w:basedOn w:val="Normal"/>
    <w:next w:val="Normal"/>
    <w:pPr>
      <w:keepNext w:val="1"/>
      <w:keepLines w:val="1"/>
      <w:pageBreakBefore w:val="0"/>
      <w:spacing w:after="0" w:lineRule="auto"/>
    </w:pPr>
    <w:rPr>
      <w:rFonts w:ascii="Arial" w:cs="Arial" w:eastAsia="Arial" w:hAnsi="Arial"/>
      <w:b w:val="1"/>
      <w:color w:val="000000"/>
    </w:rPr>
  </w:style>
  <w:style w:type="paragraph" w:styleId="Heading6">
    <w:name w:val="heading 6"/>
    <w:basedOn w:val="Normal"/>
    <w:next w:val="Normal"/>
    <w:pPr>
      <w:keepNext w:val="1"/>
      <w:keepLines w:val="1"/>
      <w:pageBreakBefore w:val="0"/>
      <w:spacing w:after="0" w:lineRule="auto"/>
    </w:pPr>
    <w:rPr>
      <w:rFonts w:ascii="Arial" w:cs="Arial" w:eastAsia="Arial" w:hAnsi="Arial"/>
      <w:b w:val="1"/>
      <w:color w:val="00112a"/>
    </w:rPr>
  </w:style>
  <w:style w:type="paragraph" w:styleId="Title">
    <w:name w:val="Title"/>
    <w:basedOn w:val="Normal"/>
    <w:next w:val="Normal"/>
    <w:pPr>
      <w:pageBreakBefore w:val="0"/>
      <w:tabs>
        <w:tab w:val="left" w:leader="none" w:pos="850.3937007874015"/>
      </w:tabs>
      <w:spacing w:after="600" w:before="840" w:line="240" w:lineRule="auto"/>
    </w:pPr>
    <w:rPr>
      <w:b w:val="1"/>
      <w:color w:val="002355"/>
      <w:sz w:val="60"/>
      <w:szCs w:val="60"/>
    </w:rPr>
  </w:style>
  <w:style w:type="paragraph" w:styleId="Subtitle">
    <w:name w:val="Subtitle"/>
    <w:basedOn w:val="Normal"/>
    <w:next w:val="Normal"/>
    <w:pPr>
      <w:pageBreakBefore w:val="0"/>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mailto:oliver.baar@koenig-bauer.com" TargetMode="External"/><Relationship Id="rId7" Type="http://schemas.openxmlformats.org/officeDocument/2006/relationships/hyperlink" Target="http://www.koenig-bauer.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