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r w:rsidDel="00000000" w:rsidR="00000000" w:rsidRPr="00000000">
        <w:rPr>
          <w:rtl w:val="0"/>
        </w:rPr>
        <w:t xml:space="preserve">Press release</w:t>
      </w:r>
    </w:p>
    <w:p w:rsidR="00000000" w:rsidDel="00000000" w:rsidP="00000000" w:rsidRDefault="00000000" w:rsidRPr="00000000" w14:paraId="00000002">
      <w:pPr>
        <w:pStyle w:val="Heading1"/>
        <w:tabs>
          <w:tab w:val="left" w:leader="none" w:pos="850"/>
        </w:tabs>
        <w:rPr/>
      </w:pPr>
      <w:bookmarkStart w:colFirst="0" w:colLast="0" w:name="_heading=h.gjdgxs" w:id="0"/>
      <w:bookmarkEnd w:id="0"/>
      <w:r w:rsidDel="00000000" w:rsidR="00000000" w:rsidRPr="00000000">
        <w:rPr>
          <w:rtl w:val="0"/>
        </w:rPr>
        <w:t xml:space="preserve">Polirom Packaging relies on Koenig &amp; Bauer</w:t>
      </w:r>
      <w:r w:rsidDel="00000000" w:rsidR="00000000" w:rsidRPr="00000000">
        <w:rPr>
          <w:rtl w:val="0"/>
        </w:rPr>
      </w:r>
    </w:p>
    <w:p w:rsidR="00000000" w:rsidDel="00000000" w:rsidP="00000000" w:rsidRDefault="00000000" w:rsidRPr="00000000" w14:paraId="00000003">
      <w:pPr>
        <w:pStyle w:val="Subtitle"/>
        <w:rPr/>
      </w:pPr>
      <w:bookmarkStart w:colFirst="0" w:colLast="0" w:name="_heading=h.u7ptgzzf681u" w:id="1"/>
      <w:bookmarkEnd w:id="1"/>
      <w:r w:rsidDel="00000000" w:rsidR="00000000" w:rsidRPr="00000000">
        <w:rPr>
          <w:rtl w:val="0"/>
        </w:rPr>
        <w:t xml:space="preserve">Romanian packaging printer with new technology on course for growth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Rapida technology in half and medium format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Continuous investment in new equipment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customer satisfaction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Radebeul, </w:t>
      </w:r>
      <w:r w:rsidDel="00000000" w:rsidR="00000000" w:rsidRPr="00000000">
        <w:rPr>
          <w:rtl w:val="0"/>
        </w:rPr>
        <w:t xml:space="preserve">April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26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2023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Just a few years ago, Polirom Packaging in Iasi/Romania was producing with printing presses from a wide variety of manufacturers. Today the picture has completely changed. In addition to a Rapida 105, the company has two Rapida 76s with five and six inking units and coating equipment. The latest went into production just a few weeks ago. There are also two Omega Allpro 55 folder gluers. Within six years, the packaging manufacturer has continuously invested in today's modern equipment.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Polirom is a privately held group of companies that was founded in 1992. The first activities were in publishing. Later, the production of packaging for the pharmaceutical, cosmetics and food industries was started. Today, Polirom Packaging, Editura Polirom and Radio Hit belong to the group of companies.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2060"/>
          <w:sz w:val="20"/>
          <w:szCs w:val="20"/>
          <w:u w:val="none"/>
          <w:shd w:fill="auto" w:val="clear"/>
          <w:vertAlign w:val="baseline"/>
          <w:rtl w:val="0"/>
        </w:rPr>
        <w:t xml:space="preserve">Folding boxes and leaflets at a high level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Polirom Packaging mainly produces secondary packaging for the pharmaceutical industry made of paper and cardboard. The main products are one, two and three-point folding boxes, leaflets, self-adhesive labels - including highly finished products, for example on aluminium foil. The capacity is over 350 million folding boxes and 250 million leaflets per year. The 100 employees process 300 tons of printing material every month. With the new technology, further growth is now possible.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Vlad Boiciuc, IT &amp; Technical Manager at Polirom Packaging, is delighted with what has been achieved: "The advice and support when purchasing and commissioning the presses was very important to us and we look forward to further growth with the investment."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Interesting website: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www.polirom.net/en/</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Photo 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Brand new: the six-colour Rapida 76 with coater and extended delivery on one of its first days of operation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Photo 2:</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Modern control center technology ensures automated processes and frees the operator from routine activities</w:t>
      </w:r>
    </w:p>
    <w:p w:rsidR="00000000" w:rsidDel="00000000" w:rsidP="00000000" w:rsidRDefault="00000000" w:rsidRPr="00000000" w14:paraId="0000001C">
      <w:pPr>
        <w:pStyle w:val="Title"/>
        <w:tabs>
          <w:tab w:val="left" w:leader="none" w:pos="850"/>
        </w:tabs>
        <w:rPr>
          <w:sz w:val="20"/>
          <w:szCs w:val="2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4"/>
        <w:rPr/>
      </w:pPr>
      <w:bookmarkStart w:colFirst="0" w:colLast="0" w:name="_heading=h.30j0zll" w:id="2"/>
      <w:bookmarkEnd w:id="2"/>
      <w:r w:rsidDel="00000000" w:rsidR="00000000" w:rsidRPr="00000000">
        <w:rPr>
          <w:rtl w:val="0"/>
        </w:rPr>
        <w:t xml:space="preserve">Press contact</w:t>
      </w:r>
    </w:p>
    <w:p w:rsidR="00000000" w:rsidDel="00000000" w:rsidP="00000000" w:rsidRDefault="00000000" w:rsidRPr="00000000" w14:paraId="0000001F">
      <w:pPr>
        <w:rPr/>
      </w:pPr>
      <w:r w:rsidDel="00000000" w:rsidR="00000000" w:rsidRPr="00000000">
        <w:rPr>
          <w:rtl w:val="0"/>
        </w:rPr>
        <w:t xml:space="preserve">Koenig &amp; Bauer Sheetfed AG &amp; Co. KG</w:t>
        <w:br w:type="textWrapping"/>
        <w:t xml:space="preserve">Martin Dänhardt</w:t>
        <w:br w:type="textWrapping"/>
        <w:t xml:space="preserve">+49 351 833-2580</w:t>
        <w:br w:type="textWrapping"/>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4"/>
        <w:rPr/>
      </w:pPr>
      <w:bookmarkStart w:colFirst="0" w:colLast="0" w:name="_heading=h.1fob9te" w:id="3"/>
      <w:bookmarkEnd w:id="3"/>
      <w:r w:rsidDel="00000000" w:rsidR="00000000" w:rsidRPr="00000000">
        <w:rPr>
          <w:rtl w:val="0"/>
        </w:rPr>
        <w:t xml:space="preserve">About Koenig &amp; Bauer</w:t>
      </w:r>
    </w:p>
    <w:p w:rsidR="00000000" w:rsidDel="00000000" w:rsidP="00000000" w:rsidRDefault="00000000" w:rsidRPr="00000000" w14:paraId="00000022">
      <w:pPr>
        <w:rPr>
          <w:sz w:val="18"/>
          <w:szCs w:val="18"/>
        </w:rPr>
      </w:pPr>
      <w:r w:rsidDel="00000000" w:rsidR="00000000" w:rsidRPr="00000000">
        <w:rPr>
          <w:rtl w:val="0"/>
        </w:rPr>
        <w:t xml:space="preserve">Koenig &amp; Bauer is a globally active printing press manufacturer with headquarters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5,500 employees. Koenig &amp; Bauer operates manufacturing plants at eleven locations in Europe, alongside a global sales and service network. The annual revenue in the 2022 financial year was around €1.2bn.</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Further information can be found at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080" w:right="1080"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Polirom Packaging relies on Koenig &amp; Bauer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_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link w:val="berschrift4Zchn"/>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1"/>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1"/>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character" w:styleId="Fett">
    <w:name w:val="Strong"/>
    <w:basedOn w:val="Absatz-Standardschriftart"/>
    <w:uiPriority w:val="22"/>
    <w:qFormat w:val="1"/>
    <w:rsid w:val="003142A1"/>
    <w:rPr>
      <w:b w:val="1"/>
      <w:bCs w:val="1"/>
    </w:rPr>
  </w:style>
  <w:style w:type="paragraph" w:styleId="KeinLeerraum">
    <w:name w:val="No Spacing"/>
    <w:uiPriority w:val="1"/>
    <w:qFormat w:val="1"/>
    <w:rsid w:val="00AE7C01"/>
    <w:pPr>
      <w:spacing w:after="0" w:line="240" w:lineRule="auto"/>
    </w:pPr>
  </w:style>
  <w:style w:type="character" w:styleId="UnresolvedMention" w:customStyle="1">
    <w:name w:val="Unresolved Mention"/>
    <w:basedOn w:val="Absatz-Standardschriftart"/>
    <w:uiPriority w:val="99"/>
    <w:semiHidden w:val="1"/>
    <w:unhideWhenUsed w:val="1"/>
    <w:rsid w:val="00986937"/>
    <w:rPr>
      <w:color w:val="605e5c"/>
      <w:shd w:color="auto" w:fill="e1dfdd" w:val="clear"/>
    </w:rPr>
  </w:style>
  <w:style w:type="character" w:styleId="berschrift4Zchn" w:customStyle="1">
    <w:name w:val="Überschrift 4 Zchn"/>
    <w:basedOn w:val="Absatz-Standardschriftart"/>
    <w:link w:val="berschrift4"/>
    <w:rsid w:val="003E6AA6"/>
    <w:rPr>
      <w:b w:val="1"/>
      <w:color w:val="000000"/>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olirom.net/en/"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M9CUBG54IJzX6/zM6g0j31vx2g==">AMUW2mUSZvUMMUoW2OYfq/rTaM4kxFI+WY4Vh3jRYiqOAlAbgYquagOXZCjtjOIMNYIkhA1r6hI0/EeaB1eRes3n3iQyQTZsQ47PWB+NZzr6AfoOEIhGbBrdLOMT+cynjJ1AzYSl6gSK0J2zwJJquwlK9/7wznmTaq2bvzZPE4xhf72qoxGQnDI1OhCLgFccWAaObmKhElXn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2023-03-06T10:52:00Z</dcterms:created>
  <dc:creator>Dänhardt, Martin (BDP)</dc:creator>
</cp:coreProperties>
</file>