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6C" w:rsidRDefault="004F0AEB">
      <w:pPr>
        <w:pStyle w:val="Titel"/>
      </w:pPr>
      <w:bookmarkStart w:id="0" w:name="_heading=h.gjdgxs" w:colFirst="0" w:colLast="0"/>
      <w:bookmarkEnd w:id="0"/>
      <w:r>
        <w:t xml:space="preserve">Presseinformation </w:t>
      </w:r>
    </w:p>
    <w:p w:rsidR="00413C6C" w:rsidRDefault="004F0AEB">
      <w:pPr>
        <w:pStyle w:val="berschrift1"/>
        <w:tabs>
          <w:tab w:val="left" w:pos="850"/>
        </w:tabs>
      </w:pPr>
      <w:bookmarkStart w:id="1" w:name="_heading=h.30j0zll" w:colFirst="0" w:colLast="0"/>
      <w:bookmarkEnd w:id="1"/>
      <w:r>
        <w:t xml:space="preserve">Indischer Verpackungsbetrieb setzt wieder auf Bogenoffset-Technik von </w:t>
      </w:r>
      <w:proofErr w:type="spellStart"/>
      <w:r>
        <w:t>Koenig</w:t>
      </w:r>
      <w:proofErr w:type="spellEnd"/>
      <w:r>
        <w:t xml:space="preserve"> &amp; Bauer </w:t>
      </w:r>
    </w:p>
    <w:p w:rsidR="00413C6C" w:rsidRDefault="004F0AEB">
      <w:pPr>
        <w:pStyle w:val="Untertitel"/>
      </w:pPr>
      <w:r>
        <w:t>Zwei Mittelformat-</w:t>
      </w:r>
      <w:proofErr w:type="spellStart"/>
      <w:r>
        <w:t>Rapidas</w:t>
      </w:r>
      <w:proofErr w:type="spellEnd"/>
      <w:r>
        <w:t xml:space="preserve"> für Printmann</w:t>
      </w:r>
    </w:p>
    <w:p w:rsidR="00413C6C" w:rsidRDefault="00413C6C"/>
    <w:p w:rsidR="00413C6C" w:rsidRDefault="004F0AEB">
      <w:pPr>
        <w:numPr>
          <w:ilvl w:val="0"/>
          <w:numId w:val="1"/>
        </w:numPr>
        <w:spacing w:after="0"/>
        <w:rPr>
          <w:b/>
        </w:rPr>
      </w:pPr>
      <w:r>
        <w:t xml:space="preserve">Zweimal </w:t>
      </w:r>
      <w:proofErr w:type="spellStart"/>
      <w:r>
        <w:t>Rapida</w:t>
      </w:r>
      <w:proofErr w:type="spellEnd"/>
      <w:r>
        <w:t xml:space="preserve"> 105 mit Ausstattung für den UV-Mischbetrieb</w:t>
      </w:r>
    </w:p>
    <w:p w:rsidR="00413C6C" w:rsidRDefault="004F0AEB">
      <w:pPr>
        <w:numPr>
          <w:ilvl w:val="0"/>
          <w:numId w:val="1"/>
        </w:numPr>
        <w:spacing w:after="0"/>
      </w:pPr>
      <w:r>
        <w:t>Zertifizierungen für Lebensmittel- und Pharmaproduktion</w:t>
      </w:r>
    </w:p>
    <w:p w:rsidR="00413C6C" w:rsidRDefault="004F0AEB">
      <w:pPr>
        <w:numPr>
          <w:ilvl w:val="0"/>
          <w:numId w:val="1"/>
        </w:numPr>
        <w:spacing w:after="0"/>
      </w:pPr>
      <w:r>
        <w:t>Preisgekrönte Produkte</w:t>
      </w:r>
    </w:p>
    <w:p w:rsidR="00413C6C" w:rsidRDefault="004F0AEB">
      <w:pPr>
        <w:rPr>
          <w:b/>
        </w:rPr>
      </w:pPr>
      <w:r>
        <w:rPr>
          <w:b/>
          <w:color w:val="002355"/>
          <w:sz w:val="40"/>
          <w:szCs w:val="40"/>
        </w:rPr>
        <w:br/>
      </w:r>
      <w:r>
        <w:t xml:space="preserve">Radebeul, </w:t>
      </w:r>
      <w:r w:rsidR="00191B36">
        <w:t>10.10</w:t>
      </w:r>
      <w:r>
        <w:t>.2023</w:t>
      </w:r>
      <w:r>
        <w:br/>
        <w:t xml:space="preserve">Die Offset-Sparte der 1987 gegründeten indischen Printmann Group investiert in neue Bogenoffset-Technik von </w:t>
      </w:r>
      <w:proofErr w:type="spellStart"/>
      <w:r>
        <w:t>Koenig</w:t>
      </w:r>
      <w:proofErr w:type="spellEnd"/>
      <w:r>
        <w:t xml:space="preserve"> &amp; Bauer. Das Unternehmen mit Sitz in Nav</w:t>
      </w:r>
      <w:r>
        <w:t>i Mumbai, der größten Planstadt der Welt, produziert auch Labels und Verpackungen, u.a. für Pharmaprodukte, die FMCG- und Food-Industrie.</w:t>
      </w:r>
    </w:p>
    <w:p w:rsidR="00413C6C" w:rsidRDefault="004F0AEB">
      <w:pPr>
        <w:rPr>
          <w:b/>
        </w:rPr>
      </w:pPr>
      <w:r>
        <w:t xml:space="preserve">Nach nahezu 35 Jahren, in denen Printmann andere Technik eingesetzt hat, kam 2021 erstmals </w:t>
      </w:r>
      <w:proofErr w:type="spellStart"/>
      <w:r>
        <w:t>Rapida</w:t>
      </w:r>
      <w:proofErr w:type="spellEnd"/>
      <w:r>
        <w:t>-Bogenoffsetmaschinen</w:t>
      </w:r>
      <w:r>
        <w:t xml:space="preserve"> von </w:t>
      </w:r>
      <w:proofErr w:type="spellStart"/>
      <w:r>
        <w:t>Koenig</w:t>
      </w:r>
      <w:proofErr w:type="spellEnd"/>
      <w:r>
        <w:t xml:space="preserve"> &amp; Bauer ins Unternehmen. Los ging es mit einer </w:t>
      </w:r>
      <w:proofErr w:type="spellStart"/>
      <w:r>
        <w:t>Rapida</w:t>
      </w:r>
      <w:proofErr w:type="spellEnd"/>
      <w:r>
        <w:t xml:space="preserve"> 105 (max. Bogenformat 740 x 1.050 mm) mit sieben Farbwerken, </w:t>
      </w:r>
      <w:proofErr w:type="spellStart"/>
      <w:r>
        <w:t>Lackturm</w:t>
      </w:r>
      <w:proofErr w:type="spellEnd"/>
      <w:r>
        <w:t xml:space="preserve"> und Auslageverlängerung als Kombi-Maschine für die konventionelle und UV-Produktion</w:t>
      </w:r>
      <w:r>
        <w:rPr>
          <w:highlight w:val="white"/>
        </w:rPr>
        <w:t>.</w:t>
      </w:r>
    </w:p>
    <w:p w:rsidR="00413C6C" w:rsidRDefault="004F0AEB">
      <w:pPr>
        <w:pStyle w:val="berschrift3"/>
      </w:pPr>
      <w:bookmarkStart w:id="2" w:name="_heading=h.1fob9te" w:colFirst="0" w:colLast="0"/>
      <w:bookmarkEnd w:id="2"/>
      <w:r>
        <w:t>Zweite Maschinen nach zwei Jahren</w:t>
      </w:r>
    </w:p>
    <w:p w:rsidR="00413C6C" w:rsidRDefault="004F0AEB">
      <w:pPr>
        <w:rPr>
          <w:b/>
        </w:rPr>
      </w:pPr>
      <w:r>
        <w:t>I</w:t>
      </w:r>
      <w:r>
        <w:t xml:space="preserve">n diesem Jahr wurde die zweite Maschine installiert. Wieder eine </w:t>
      </w:r>
      <w:proofErr w:type="spellStart"/>
      <w:r>
        <w:t>Rapida</w:t>
      </w:r>
      <w:proofErr w:type="spellEnd"/>
      <w:r>
        <w:t xml:space="preserve"> 105, diesmal mit sechs Farbwerken und ebenso mit Lack- und umfangreicher Ausstattung für den UV-Mischbetrieb. Auch sie bietet ein umfangreiches Spektrum an Möglichkeiten für die umfass</w:t>
      </w:r>
      <w:r>
        <w:t>ende Produktveredelung</w:t>
      </w:r>
      <w:r>
        <w:rPr>
          <w:b/>
        </w:rPr>
        <w:t>.</w:t>
      </w:r>
    </w:p>
    <w:p w:rsidR="00413C6C" w:rsidRDefault="004F0AEB">
      <w:pPr>
        <w:rPr>
          <w:b/>
        </w:rPr>
      </w:pPr>
      <w:r>
        <w:t>Beide Mittelformat-</w:t>
      </w:r>
      <w:proofErr w:type="spellStart"/>
      <w:r>
        <w:t>Rapidas</w:t>
      </w:r>
      <w:proofErr w:type="spellEnd"/>
      <w:r>
        <w:t xml:space="preserve"> sind nahezu identisch ausgestattet: mit Maschinenerhöhung für die Kartonagenproduktion bis zu 1,2 mm Stärke, mit Druckleistungen bis zu 16.000 Bogen/h, zweifacher Auslageverlängerung, Nonstop-Einrichtungen</w:t>
      </w:r>
      <w:r>
        <w:t xml:space="preserve"> an Anleger und Auslage, Farbwerktemperierung, </w:t>
      </w:r>
      <w:proofErr w:type="spellStart"/>
      <w:r>
        <w:t>CleanTronic</w:t>
      </w:r>
      <w:proofErr w:type="spellEnd"/>
      <w:r>
        <w:t xml:space="preserve"> Multi (Wascheinrichtungen für wechselnden Einsatz von konventionellen und UV-Farben), EES (Emission </w:t>
      </w:r>
      <w:proofErr w:type="spellStart"/>
      <w:r>
        <w:t>Extraction</w:t>
      </w:r>
      <w:proofErr w:type="spellEnd"/>
      <w:r>
        <w:t xml:space="preserve"> System), </w:t>
      </w:r>
      <w:proofErr w:type="spellStart"/>
      <w:r>
        <w:t>VariDry</w:t>
      </w:r>
      <w:proofErr w:type="spellEnd"/>
      <w:r>
        <w:t xml:space="preserve"> IR/TL/UV-Trockner und weitere Automatisierungslösungen</w:t>
      </w:r>
      <w:r>
        <w:rPr>
          <w:highlight w:val="white"/>
        </w:rPr>
        <w:t>.</w:t>
      </w:r>
    </w:p>
    <w:p w:rsidR="00413C6C" w:rsidRDefault="004F0AEB">
      <w:pPr>
        <w:pStyle w:val="berschrift3"/>
      </w:pPr>
      <w:r>
        <w:t>Leistungsstar</w:t>
      </w:r>
      <w:r>
        <w:t>k und hoch produktiv</w:t>
      </w:r>
    </w:p>
    <w:p w:rsidR="00413C6C" w:rsidRDefault="004F0AEB">
      <w:r>
        <w:t>Printmann ist einer von vielen leistungsstarken und mit moderner Technik ausgestatteten Druck- und Verpackungsunternehmen auf dem Subkontinent. Das Unternehmen ist nach ISO 9001:2008 und PS 9000:2011 (</w:t>
      </w:r>
      <w:proofErr w:type="spellStart"/>
      <w:r>
        <w:t>Pharma</w:t>
      </w:r>
      <w:proofErr w:type="spellEnd"/>
      <w:r>
        <w:t xml:space="preserve">) zertifiziert. Mit </w:t>
      </w:r>
      <w:proofErr w:type="gramStart"/>
      <w:r>
        <w:t>BRC:IOP</w:t>
      </w:r>
      <w:proofErr w:type="gramEnd"/>
      <w:r>
        <w:t xml:space="preserve"> </w:t>
      </w:r>
      <w:r>
        <w:t xml:space="preserve">erfüllt es außerdem einen globalen Standard für die Produktion von Lebensmittelverpackungen. </w:t>
      </w:r>
    </w:p>
    <w:p w:rsidR="00413C6C" w:rsidRDefault="004F0AEB">
      <w:r>
        <w:lastRenderedPageBreak/>
        <w:t xml:space="preserve">Eine ganze Reihe von Awards zeugen von der Leistungsfähigkeit des Betriebes. Darunter befinden sich mehrere Label Awards sowie National Awards </w:t>
      </w:r>
      <w:proofErr w:type="spellStart"/>
      <w:r>
        <w:t>for</w:t>
      </w:r>
      <w:proofErr w:type="spellEnd"/>
      <w:r>
        <w:t xml:space="preserve"> Excellence in </w:t>
      </w:r>
      <w:proofErr w:type="spellStart"/>
      <w:r>
        <w:t>P</w:t>
      </w:r>
      <w:r>
        <w:t>rinting</w:t>
      </w:r>
      <w:proofErr w:type="spellEnd"/>
      <w:r>
        <w:t xml:space="preserve"> (in Silber und Gold). In diesem Umfeld stellen die beiden </w:t>
      </w:r>
      <w:proofErr w:type="spellStart"/>
      <w:r>
        <w:t>Rapida</w:t>
      </w:r>
      <w:proofErr w:type="spellEnd"/>
      <w:r>
        <w:t xml:space="preserve"> 105 ihre Leistungsfähigkeit tagtäglich unter Beweis.</w:t>
      </w:r>
    </w:p>
    <w:p w:rsidR="00413C6C" w:rsidRDefault="004F0AEB">
      <w:pPr>
        <w:rPr>
          <w:color w:val="000000"/>
        </w:rPr>
      </w:pPr>
      <w:bookmarkStart w:id="3" w:name="_heading=h.3znysh7" w:colFirst="0" w:colLast="0"/>
      <w:bookmarkEnd w:id="3"/>
      <w:r>
        <w:rPr>
          <w:u w:val="single"/>
        </w:rPr>
        <w:t>Interessante Website:</w:t>
      </w:r>
      <w:r>
        <w:t xml:space="preserve"> www.printmann.com</w:t>
      </w:r>
    </w:p>
    <w:p w:rsidR="00413C6C" w:rsidRDefault="00413C6C">
      <w:bookmarkStart w:id="4" w:name="_heading=h.2et92p0" w:colFirst="0" w:colLast="0"/>
      <w:bookmarkEnd w:id="4"/>
    </w:p>
    <w:p w:rsidR="00413C6C" w:rsidRDefault="004F0AEB">
      <w:pPr>
        <w:pStyle w:val="berschrift4"/>
      </w:pPr>
      <w:bookmarkStart w:id="5" w:name="_heading=h.tyjcwt" w:colFirst="0" w:colLast="0"/>
      <w:bookmarkEnd w:id="5"/>
      <w:r>
        <w:t>Foto 1:</w:t>
      </w:r>
    </w:p>
    <w:p w:rsidR="00413C6C" w:rsidRDefault="004F0AEB">
      <w:r>
        <w:t xml:space="preserve">V.l.n.r. </w:t>
      </w:r>
      <w:proofErr w:type="spellStart"/>
      <w:r>
        <w:t>Aditya</w:t>
      </w:r>
      <w:proofErr w:type="spellEnd"/>
      <w:r>
        <w:t xml:space="preserve"> </w:t>
      </w:r>
      <w:proofErr w:type="spellStart"/>
      <w:r>
        <w:t>Surana</w:t>
      </w:r>
      <w:proofErr w:type="spellEnd"/>
      <w:r>
        <w:t xml:space="preserve">, Geschäftsführer </w:t>
      </w:r>
      <w:proofErr w:type="spellStart"/>
      <w:r>
        <w:t>Indo</w:t>
      </w:r>
      <w:proofErr w:type="spellEnd"/>
      <w:r>
        <w:t xml:space="preserve"> Polygraph, </w:t>
      </w:r>
      <w:proofErr w:type="spellStart"/>
      <w:r>
        <w:t>Ankit</w:t>
      </w:r>
      <w:proofErr w:type="spellEnd"/>
      <w:r>
        <w:t xml:space="preserve"> und </w:t>
      </w:r>
      <w:proofErr w:type="spellStart"/>
      <w:r>
        <w:t>Tejas</w:t>
      </w:r>
      <w:proofErr w:type="spellEnd"/>
      <w:r>
        <w:t xml:space="preserve"> </w:t>
      </w:r>
      <w:proofErr w:type="spellStart"/>
      <w:r>
        <w:t>Tanna</w:t>
      </w:r>
      <w:proofErr w:type="spellEnd"/>
      <w:r>
        <w:t>, Di</w:t>
      </w:r>
      <w:r>
        <w:t xml:space="preserve">rektoren von Printmann, </w:t>
      </w:r>
      <w:proofErr w:type="spellStart"/>
      <w:r>
        <w:t>Bipin</w:t>
      </w:r>
      <w:proofErr w:type="spellEnd"/>
      <w:r>
        <w:t xml:space="preserve"> </w:t>
      </w:r>
      <w:proofErr w:type="spellStart"/>
      <w:r>
        <w:t>Tanna</w:t>
      </w:r>
      <w:proofErr w:type="spellEnd"/>
      <w:r>
        <w:t xml:space="preserve">, Gründer und CMD des Unternehmens, sowie </w:t>
      </w:r>
      <w:proofErr w:type="spellStart"/>
      <w:r>
        <w:t>Shashank</w:t>
      </w:r>
      <w:proofErr w:type="spellEnd"/>
      <w:r>
        <w:t xml:space="preserve"> </w:t>
      </w:r>
      <w:proofErr w:type="spellStart"/>
      <w:r>
        <w:t>Surana</w:t>
      </w:r>
      <w:proofErr w:type="spellEnd"/>
      <w:r>
        <w:t xml:space="preserve">, Direktor von </w:t>
      </w:r>
      <w:proofErr w:type="spellStart"/>
      <w:r>
        <w:t>Indo</w:t>
      </w:r>
      <w:proofErr w:type="spellEnd"/>
      <w:r>
        <w:t xml:space="preserve"> Polygraph anlässlich der Inbetriebnahme der zweiten </w:t>
      </w:r>
      <w:proofErr w:type="spellStart"/>
      <w:r>
        <w:t>Rapida</w:t>
      </w:r>
      <w:proofErr w:type="spellEnd"/>
      <w:r>
        <w:t xml:space="preserve"> 105 </w:t>
      </w:r>
    </w:p>
    <w:p w:rsidR="00413C6C" w:rsidRDefault="00413C6C"/>
    <w:p w:rsidR="00413C6C" w:rsidRDefault="004F0AEB">
      <w:pPr>
        <w:pStyle w:val="berschrift4"/>
      </w:pPr>
      <w:bookmarkStart w:id="6" w:name="_heading=h.3dy6vkm" w:colFirst="0" w:colLast="0"/>
      <w:bookmarkStart w:id="7" w:name="_GoBack"/>
      <w:bookmarkEnd w:id="6"/>
      <w:bookmarkEnd w:id="7"/>
      <w:r>
        <w:t>Ansprechpartner für Presse</w:t>
      </w:r>
    </w:p>
    <w:p w:rsidR="00413C6C" w:rsidRDefault="004F0AEB">
      <w:proofErr w:type="spellStart"/>
      <w:r>
        <w:t>Koenig</w:t>
      </w:r>
      <w:proofErr w:type="spellEnd"/>
      <w:r>
        <w:t xml:space="preserve"> &amp; Bauer </w:t>
      </w:r>
      <w:proofErr w:type="spellStart"/>
      <w:r>
        <w:t>Sheetfed</w:t>
      </w:r>
      <w:proofErr w:type="spellEnd"/>
      <w:r>
        <w:t xml:space="preserve"> AG &amp; Co. KG</w:t>
      </w:r>
      <w:r>
        <w:br/>
      </w:r>
      <w:r>
        <w:t xml:space="preserve">Martin </w:t>
      </w:r>
      <w:proofErr w:type="spellStart"/>
      <w:r>
        <w:t>Dänhardt</w:t>
      </w:r>
      <w:proofErr w:type="spellEnd"/>
      <w:r>
        <w:br/>
        <w:t>T +49 351 833-2580</w:t>
      </w:r>
      <w:r>
        <w:br/>
        <w:t xml:space="preserve">M </w:t>
      </w:r>
      <w:hyperlink r:id="rId8">
        <w:r>
          <w:rPr>
            <w:color w:val="0000FF"/>
            <w:u w:val="single"/>
          </w:rPr>
          <w:t>martin.daenhardt@koenig-bauer.com</w:t>
        </w:r>
      </w:hyperlink>
    </w:p>
    <w:p w:rsidR="00413C6C" w:rsidRDefault="00413C6C"/>
    <w:p w:rsidR="00413C6C" w:rsidRDefault="004F0AEB">
      <w:pPr>
        <w:pStyle w:val="berschrift4"/>
      </w:pPr>
      <w:bookmarkStart w:id="8" w:name="_heading=h.1t3h5sf" w:colFirst="0" w:colLast="0"/>
      <w:bookmarkEnd w:id="8"/>
      <w:r>
        <w:t xml:space="preserve">Über </w:t>
      </w:r>
      <w:proofErr w:type="spellStart"/>
      <w:r>
        <w:t>Koenig</w:t>
      </w:r>
      <w:proofErr w:type="spellEnd"/>
      <w:r>
        <w:t xml:space="preserve"> &amp; Bauer</w:t>
      </w:r>
    </w:p>
    <w:p w:rsidR="00413C6C" w:rsidRDefault="004F0AEB">
      <w:pPr>
        <w:shd w:val="clear" w:color="auto" w:fill="FFFFFF"/>
        <w:spacing w:line="250" w:lineRule="auto"/>
        <w:rPr>
          <w:sz w:val="18"/>
          <w:szCs w:val="18"/>
        </w:rPr>
      </w:pPr>
      <w:proofErr w:type="spellStart"/>
      <w:r>
        <w:rPr>
          <w:color w:val="000000"/>
        </w:rPr>
        <w:t>Koenig</w:t>
      </w:r>
      <w:proofErr w:type="spellEnd"/>
      <w:r>
        <w:rPr>
          <w:color w:val="000000"/>
        </w:rPr>
        <w:t xml:space="preserve"> &amp; Bauer mit Sitz in Würzburg (Deutschland) ist ein weltweit tätiger Druckmaschinenhersteller. Das</w:t>
      </w:r>
      <w:r>
        <w:rPr>
          <w:color w:val="000000"/>
        </w:rPr>
        <w:t xml:space="preserve"> Unternehmen produziert Maschinen und Software-Lösungen für den gesamten Prozess von Druck und Weiterverarbeitung, schwerpunktmäßig im Bereich der Verpackungen. Anlagen von </w:t>
      </w:r>
      <w:proofErr w:type="spellStart"/>
      <w:r>
        <w:rPr>
          <w:color w:val="000000"/>
        </w:rPr>
        <w:t>Koenig</w:t>
      </w:r>
      <w:proofErr w:type="spellEnd"/>
      <w:r>
        <w:rPr>
          <w:color w:val="000000"/>
        </w:rPr>
        <w:t xml:space="preserve"> &amp; Bauer können nahezu alle Substrate bedrucken – das Portfolio reicht von Ba</w:t>
      </w:r>
      <w:r>
        <w:rPr>
          <w:color w:val="000000"/>
        </w:rPr>
        <w:t xml:space="preserve">nknoten über Karton-, Wellpappe-, Folien-, Blech- und Glasverpackungen bis hin zum Bücher-, Display-, Kennzeichnungs-, Dekor-, Magazin-, Werbe- und Zeitungsdruck. Mit einer über 200-jährigen Geschichte ist </w:t>
      </w:r>
      <w:proofErr w:type="spellStart"/>
      <w:r>
        <w:rPr>
          <w:color w:val="000000"/>
        </w:rPr>
        <w:t>Koenig</w:t>
      </w:r>
      <w:proofErr w:type="spellEnd"/>
      <w:r>
        <w:rPr>
          <w:color w:val="000000"/>
        </w:rPr>
        <w:t xml:space="preserve"> &amp; Bauer der älteste Druckmaschinenherstelle</w:t>
      </w:r>
      <w:r>
        <w:rPr>
          <w:color w:val="000000"/>
        </w:rPr>
        <w:t xml:space="preserve">r der Welt und beherrscht heute fast alle Druckverfahren. Im gesamten Konzern arbeiten rund 5.500 Menschen. </w:t>
      </w:r>
      <w:proofErr w:type="spellStart"/>
      <w:r>
        <w:rPr>
          <w:color w:val="000000"/>
        </w:rPr>
        <w:t>Koenig</w:t>
      </w:r>
      <w:proofErr w:type="spellEnd"/>
      <w:r>
        <w:rPr>
          <w:color w:val="000000"/>
        </w:rPr>
        <w:t xml:space="preserve"> &amp; Bauer produziert an zehn Standorten in Europa und unterhält ein weltweites Vertriebs- und Servicenetzwerk. Der Jahresumsatz im Geschäftsjah</w:t>
      </w:r>
      <w:r>
        <w:rPr>
          <w:color w:val="000000"/>
        </w:rPr>
        <w:t>r 2022 lag bei 1,2 Milliarden Euro.</w:t>
      </w:r>
    </w:p>
    <w:p w:rsidR="00413C6C" w:rsidRDefault="004F0AEB">
      <w:r>
        <w:t xml:space="preserve">Weitere Informationen unter </w:t>
      </w:r>
      <w:hyperlink r:id="rId9">
        <w:r>
          <w:rPr>
            <w:color w:val="1155CC"/>
            <w:u w:val="single"/>
          </w:rPr>
          <w:t>www.koenig-bauer.com</w:t>
        </w:r>
      </w:hyperlink>
    </w:p>
    <w:p w:rsidR="00413C6C" w:rsidRDefault="00413C6C"/>
    <w:sectPr w:rsidR="00413C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1" w:right="1418" w:bottom="1361" w:left="1418" w:header="102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AEB" w:rsidRDefault="004F0AEB">
      <w:pPr>
        <w:spacing w:after="0" w:line="240" w:lineRule="auto"/>
      </w:pPr>
      <w:r>
        <w:separator/>
      </w:r>
    </w:p>
  </w:endnote>
  <w:endnote w:type="continuationSeparator" w:id="0">
    <w:p w:rsidR="004F0AEB" w:rsidRDefault="004F0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6C" w:rsidRDefault="00413C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6C" w:rsidRDefault="00413C6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4"/>
        <w:szCs w:val="14"/>
      </w:rPr>
    </w:pPr>
  </w:p>
  <w:tbl>
    <w:tblPr>
      <w:tblStyle w:val="a2"/>
      <w:tblW w:w="9060" w:type="dxa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BFBFBF"/>
        <w:insideV w:val="single" w:sz="4" w:space="0" w:color="FFFFFF"/>
      </w:tblBorders>
      <w:tblLayout w:type="fixed"/>
      <w:tblLook w:val="0400" w:firstRow="0" w:lastRow="0" w:firstColumn="0" w:lastColumn="0" w:noHBand="0" w:noVBand="1"/>
    </w:tblPr>
    <w:tblGrid>
      <w:gridCol w:w="4530"/>
      <w:gridCol w:w="4530"/>
    </w:tblGrid>
    <w:tr w:rsidR="00413C6C">
      <w:tc>
        <w:tcPr>
          <w:tcW w:w="4530" w:type="dxa"/>
        </w:tcPr>
        <w:p w:rsidR="00413C6C" w:rsidRDefault="00413C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4530" w:type="dxa"/>
        </w:tcPr>
        <w:p w:rsidR="00413C6C" w:rsidRDefault="004F0A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Zwei Mittelformat-</w:t>
          </w:r>
          <w:proofErr w:type="spellStart"/>
          <w:r>
            <w:rPr>
              <w:color w:val="000000"/>
              <w:sz w:val="14"/>
              <w:szCs w:val="14"/>
            </w:rPr>
            <w:t>Rapidas</w:t>
          </w:r>
          <w:proofErr w:type="spellEnd"/>
          <w:r>
            <w:rPr>
              <w:color w:val="000000"/>
              <w:sz w:val="14"/>
              <w:szCs w:val="14"/>
            </w:rPr>
            <w:t xml:space="preserve"> für Printmann | </w:t>
          </w:r>
          <w:r>
            <w:rPr>
              <w:color w:val="000000"/>
              <w:sz w:val="14"/>
              <w:szCs w:val="14"/>
            </w:rPr>
            <w:fldChar w:fldCharType="begin"/>
          </w:r>
          <w:r>
            <w:rPr>
              <w:color w:val="000000"/>
              <w:sz w:val="14"/>
              <w:szCs w:val="14"/>
            </w:rPr>
            <w:instrText>PAGE</w:instrText>
          </w:r>
          <w:r w:rsidR="00191B36">
            <w:rPr>
              <w:color w:val="000000"/>
              <w:sz w:val="14"/>
              <w:szCs w:val="14"/>
            </w:rPr>
            <w:fldChar w:fldCharType="separate"/>
          </w:r>
          <w:r w:rsidR="00191B36">
            <w:rPr>
              <w:noProof/>
              <w:color w:val="000000"/>
              <w:sz w:val="14"/>
              <w:szCs w:val="14"/>
            </w:rPr>
            <w:t>1</w:t>
          </w:r>
          <w:r>
            <w:rPr>
              <w:color w:val="000000"/>
              <w:sz w:val="14"/>
              <w:szCs w:val="14"/>
            </w:rPr>
            <w:fldChar w:fldCharType="end"/>
          </w:r>
        </w:p>
      </w:tc>
    </w:tr>
  </w:tbl>
  <w:p w:rsidR="00413C6C" w:rsidRDefault="00413C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6C" w:rsidRDefault="00413C6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4"/>
        <w:szCs w:val="14"/>
      </w:rPr>
    </w:pPr>
  </w:p>
  <w:tbl>
    <w:tblPr>
      <w:tblStyle w:val="a1"/>
      <w:tblW w:w="9781" w:type="dxa"/>
      <w:tblInd w:w="-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nil"/>
        <w:insideV w:val="single" w:sz="4" w:space="0" w:color="FFFFFF"/>
      </w:tblBorders>
      <w:tblLayout w:type="fixed"/>
      <w:tblLook w:val="0400" w:firstRow="0" w:lastRow="0" w:firstColumn="0" w:lastColumn="0" w:noHBand="0" w:noVBand="1"/>
    </w:tblPr>
    <w:tblGrid>
      <w:gridCol w:w="2552"/>
      <w:gridCol w:w="4536"/>
      <w:gridCol w:w="2693"/>
    </w:tblGrid>
    <w:tr w:rsidR="00413C6C">
      <w:trPr>
        <w:trHeight w:val="620"/>
      </w:trPr>
      <w:tc>
        <w:tcPr>
          <w:tcW w:w="0" w:type="auto"/>
        </w:tcPr>
        <w:p w:rsidR="00413C6C" w:rsidRDefault="00413C6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40" w:line="288" w:lineRule="auto"/>
            <w:rPr>
              <w:color w:val="000000"/>
              <w:sz w:val="20"/>
              <w:szCs w:val="20"/>
            </w:rPr>
          </w:pPr>
        </w:p>
      </w:tc>
      <w:tc>
        <w:tcPr>
          <w:tcW w:w="0" w:type="auto"/>
        </w:tcPr>
        <w:p w:rsidR="00413C6C" w:rsidRDefault="00413C6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40" w:line="288" w:lineRule="auto"/>
            <w:rPr>
              <w:color w:val="000000"/>
              <w:sz w:val="20"/>
              <w:szCs w:val="20"/>
            </w:rPr>
          </w:pPr>
        </w:p>
      </w:tc>
      <w:tc>
        <w:tcPr>
          <w:tcW w:w="0" w:type="auto"/>
        </w:tcPr>
        <w:p w:rsidR="00413C6C" w:rsidRDefault="00413C6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40" w:line="288" w:lineRule="auto"/>
            <w:rPr>
              <w:color w:val="000000"/>
              <w:sz w:val="20"/>
              <w:szCs w:val="20"/>
            </w:rPr>
          </w:pPr>
        </w:p>
      </w:tc>
    </w:tr>
  </w:tbl>
  <w:p w:rsidR="00413C6C" w:rsidRDefault="00413C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AEB" w:rsidRDefault="004F0AEB">
      <w:pPr>
        <w:spacing w:after="0" w:line="240" w:lineRule="auto"/>
      </w:pPr>
      <w:r>
        <w:separator/>
      </w:r>
    </w:p>
  </w:footnote>
  <w:footnote w:type="continuationSeparator" w:id="0">
    <w:p w:rsidR="004F0AEB" w:rsidRDefault="004F0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6C" w:rsidRDefault="00413C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6C" w:rsidRDefault="004F0A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  <w:sz w:val="15"/>
        <w:szCs w:val="15"/>
      </w:rPr>
    </w:pPr>
    <w:r>
      <w:rPr>
        <w:noProof/>
        <w:color w:val="000000"/>
        <w:sz w:val="15"/>
        <w:szCs w:val="15"/>
      </w:rPr>
      <w:drawing>
        <wp:inline distT="0" distB="0" distL="0" distR="0">
          <wp:extent cx="2524125" cy="223838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125" cy="223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6C" w:rsidRDefault="004F0A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  <w:sz w:val="15"/>
        <w:szCs w:val="15"/>
      </w:rPr>
    </w:pPr>
    <w:r>
      <w:rPr>
        <w:noProof/>
        <w:color w:val="000000"/>
        <w:sz w:val="15"/>
        <w:szCs w:val="15"/>
      </w:rPr>
      <w:drawing>
        <wp:inline distT="0" distB="0" distL="0" distR="0">
          <wp:extent cx="2524721" cy="2160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721" cy="2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86BE3"/>
    <w:multiLevelType w:val="multilevel"/>
    <w:tmpl w:val="6C2098B0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6C"/>
    <w:rsid w:val="00191B36"/>
    <w:rsid w:val="00413C6C"/>
    <w:rsid w:val="004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50FE"/>
  <w15:docId w15:val="{CC76B3CC-548D-4C88-8F22-677B8C36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de-DE" w:eastAsia="de-DE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line="240" w:lineRule="auto"/>
      <w:outlineLvl w:val="0"/>
    </w:pPr>
    <w:rPr>
      <w:b/>
      <w:color w:val="002355"/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after="0"/>
      <w:outlineLvl w:val="1"/>
    </w:pPr>
    <w:rPr>
      <w:b/>
      <w:color w:val="002355"/>
      <w:sz w:val="28"/>
      <w:szCs w:val="28"/>
    </w:rPr>
  </w:style>
  <w:style w:type="paragraph" w:styleId="berschrift3">
    <w:name w:val="heading 3"/>
    <w:basedOn w:val="Standard"/>
    <w:next w:val="Standard"/>
    <w:pPr>
      <w:keepNext/>
      <w:keepLines/>
      <w:spacing w:after="0"/>
      <w:outlineLvl w:val="2"/>
    </w:pPr>
    <w:rPr>
      <w:b/>
      <w:color w:val="002355"/>
    </w:rPr>
  </w:style>
  <w:style w:type="paragraph" w:styleId="berschrift4">
    <w:name w:val="heading 4"/>
    <w:basedOn w:val="Standard"/>
    <w:next w:val="Standard"/>
    <w:pPr>
      <w:keepNext/>
      <w:keepLines/>
      <w:spacing w:after="0"/>
      <w:outlineLvl w:val="3"/>
    </w:pPr>
    <w:rPr>
      <w:b/>
      <w:color w:val="000000"/>
    </w:rPr>
  </w:style>
  <w:style w:type="paragraph" w:styleId="berschrift5">
    <w:name w:val="heading 5"/>
    <w:basedOn w:val="Standard"/>
    <w:next w:val="Standard"/>
    <w:pPr>
      <w:keepNext/>
      <w:keepLines/>
      <w:spacing w:after="0"/>
      <w:outlineLvl w:val="4"/>
    </w:pPr>
    <w:rPr>
      <w:b/>
      <w:color w:val="000000"/>
    </w:rPr>
  </w:style>
  <w:style w:type="paragraph" w:styleId="berschrift6">
    <w:name w:val="heading 6"/>
    <w:basedOn w:val="Standard"/>
    <w:next w:val="Standard"/>
    <w:pPr>
      <w:keepNext/>
      <w:keepLines/>
      <w:spacing w:after="0"/>
      <w:outlineLvl w:val="5"/>
    </w:pPr>
    <w:rPr>
      <w:b/>
      <w:color w:val="00112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tabs>
        <w:tab w:val="left" w:pos="850"/>
      </w:tabs>
      <w:spacing w:before="840" w:after="600" w:line="240" w:lineRule="auto"/>
    </w:pPr>
    <w:rPr>
      <w:b/>
      <w:color w:val="002355"/>
      <w:sz w:val="60"/>
      <w:szCs w:val="6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tertitel">
    <w:name w:val="Subtitle"/>
    <w:basedOn w:val="Standard"/>
    <w:next w:val="Standard"/>
    <w:pPr>
      <w:spacing w:line="240" w:lineRule="auto"/>
    </w:pPr>
    <w:rPr>
      <w:color w:val="002355"/>
      <w:sz w:val="28"/>
      <w:szCs w:val="28"/>
    </w:rPr>
  </w:style>
  <w:style w:type="table" w:customStyle="1" w:styleId="a">
    <w:basedOn w:val="TableNormal0"/>
    <w:pPr>
      <w:spacing w:after="0" w:line="240" w:lineRule="auto"/>
    </w:pPr>
    <w:rPr>
      <w:sz w:val="17"/>
      <w:szCs w:val="17"/>
    </w:rPr>
    <w:tblPr>
      <w:tblStyleRowBandSize w:val="1"/>
      <w:tblStyleColBandSize w:val="1"/>
      <w:tblCellMar>
        <w:top w:w="57" w:type="dxa"/>
        <w:bottom w:w="28" w:type="dxa"/>
      </w:tblCellMar>
    </w:tblPr>
  </w:style>
  <w:style w:type="table" w:customStyle="1" w:styleId="a0">
    <w:basedOn w:val="TableNormal0"/>
    <w:pPr>
      <w:spacing w:after="0" w:line="240" w:lineRule="auto"/>
    </w:pPr>
    <w:rPr>
      <w:sz w:val="17"/>
      <w:szCs w:val="17"/>
    </w:rPr>
    <w:tblPr>
      <w:tblStyleRowBandSize w:val="1"/>
      <w:tblStyleColBandSize w:val="1"/>
      <w:tblCellMar>
        <w:top w:w="57" w:type="dxa"/>
        <w:bottom w:w="2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136A4D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3142A1"/>
    <w:rPr>
      <w:b/>
      <w:bCs/>
    </w:rPr>
  </w:style>
  <w:style w:type="character" w:styleId="Hervorhebung">
    <w:name w:val="Emphasis"/>
    <w:basedOn w:val="Absatz-Standardschriftart"/>
    <w:uiPriority w:val="20"/>
    <w:qFormat/>
    <w:rsid w:val="002917DC"/>
    <w:rPr>
      <w:i/>
      <w:iCs/>
    </w:rPr>
  </w:style>
  <w:style w:type="table" w:customStyle="1" w:styleId="a1">
    <w:basedOn w:val="TableNormal0"/>
    <w:pPr>
      <w:spacing w:after="0" w:line="240" w:lineRule="auto"/>
    </w:pPr>
    <w:rPr>
      <w:sz w:val="17"/>
      <w:szCs w:val="17"/>
    </w:rPr>
    <w:tblPr>
      <w:tblStyleRowBandSize w:val="1"/>
      <w:tblStyleColBandSize w:val="1"/>
      <w:tblCellMar>
        <w:top w:w="57" w:type="dxa"/>
        <w:bottom w:w="28" w:type="dxa"/>
      </w:tblCellMar>
    </w:tblPr>
  </w:style>
  <w:style w:type="table" w:customStyle="1" w:styleId="a2">
    <w:basedOn w:val="TableNormal0"/>
    <w:pPr>
      <w:spacing w:after="0" w:line="240" w:lineRule="auto"/>
    </w:pPr>
    <w:rPr>
      <w:sz w:val="17"/>
      <w:szCs w:val="17"/>
    </w:rPr>
    <w:tblPr>
      <w:tblStyleRowBandSize w:val="1"/>
      <w:tblStyleColBandSize w:val="1"/>
      <w:tblCellMar>
        <w:top w:w="57" w:type="dxa"/>
        <w:bottom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aenhardt@koenig-bauer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enig-bauer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4psBazWnvZeSJgc0HCIfhljyvg==">CgMxLjAyCGguZ2pkZ3hzMgloLjMwajB6bGwyCWguMWZvYjl0ZTIJaC4zem55c2g3MgloLjJldDkycDAyCGgudHlqY3d0MgloLjNkeTZ2a20yCWguMXQzaDVzZjgAciExRVNnWEEwTXpFZ0I4ZU95QXBEUGJCVE9SVmRKMnBIUEM=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3371</Characters>
  <Application>Microsoft Office Word</Application>
  <DocSecurity>0</DocSecurity>
  <Lines>28</Lines>
  <Paragraphs>7</Paragraphs>
  <ScaleCrop>false</ScaleCrop>
  <Company>KOENIG &amp; BAUER AG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Dänhardt, Martin (BDP)</dc:creator>
  <cp:lastModifiedBy>Wicht, Natascha (ZM)</cp:lastModifiedBy>
  <cp:revision>3</cp:revision>
  <dcterms:created xsi:type="dcterms:W3CDTF">2023-07-17T08:34:00Z</dcterms:created>
  <dcterms:modified xsi:type="dcterms:W3CDTF">2023-10-10T07:43:00Z</dcterms:modified>
</cp:coreProperties>
</file>