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61D" w:rsidRDefault="00945747">
      <w:pPr>
        <w:pStyle w:val="Titel"/>
      </w:pPr>
      <w:bookmarkStart w:id="0" w:name="_heading=h.gjdgxs" w:colFirst="0" w:colLast="0"/>
      <w:bookmarkEnd w:id="0"/>
      <w:r>
        <w:t xml:space="preserve">Press Release </w:t>
      </w:r>
    </w:p>
    <w:p w:rsidR="00D3561D" w:rsidRDefault="00945747">
      <w:pPr>
        <w:pStyle w:val="berschrift1"/>
        <w:tabs>
          <w:tab w:val="left" w:pos="850"/>
        </w:tabs>
      </w:pPr>
      <w:bookmarkStart w:id="1" w:name="_heading=h.30j0zll" w:colFirst="0" w:colLast="0"/>
      <w:bookmarkEnd w:id="1"/>
      <w:r>
        <w:t>Indian packaging solution provider switch to sheetfed offset technology from Koenig &amp; Bauer</w:t>
      </w:r>
    </w:p>
    <w:p w:rsidR="00D3561D" w:rsidRDefault="00945747">
      <w:pPr>
        <w:pStyle w:val="Untertitel"/>
      </w:pPr>
      <w:r>
        <w:t xml:space="preserve">Two Medium-Format Rapidas for Printmann </w:t>
      </w:r>
    </w:p>
    <w:p w:rsidR="00D3561D" w:rsidRDefault="00D3561D"/>
    <w:p w:rsidR="00D3561D" w:rsidRDefault="00945747">
      <w:pPr>
        <w:numPr>
          <w:ilvl w:val="0"/>
          <w:numId w:val="1"/>
        </w:numPr>
        <w:spacing w:after="0"/>
        <w:rPr>
          <w:b/>
        </w:rPr>
      </w:pPr>
      <w:r>
        <w:t>Two Rapida 105 presses with equipment for mixed UV operation</w:t>
      </w:r>
    </w:p>
    <w:p w:rsidR="00D3561D" w:rsidRDefault="00945747">
      <w:pPr>
        <w:numPr>
          <w:ilvl w:val="0"/>
          <w:numId w:val="1"/>
        </w:numPr>
        <w:spacing w:after="0"/>
      </w:pPr>
      <w:r>
        <w:t>Certification for the food and pharmaceuticals branches</w:t>
      </w:r>
    </w:p>
    <w:p w:rsidR="00D3561D" w:rsidRDefault="00945747">
      <w:pPr>
        <w:numPr>
          <w:ilvl w:val="0"/>
          <w:numId w:val="1"/>
        </w:numPr>
        <w:spacing w:after="0"/>
      </w:pPr>
      <w:r>
        <w:t>Award-winning products</w:t>
      </w:r>
    </w:p>
    <w:p w:rsidR="00D3561D" w:rsidRDefault="00945747">
      <w:pPr>
        <w:rPr>
          <w:b/>
        </w:rPr>
      </w:pPr>
      <w:r>
        <w:rPr>
          <w:b/>
          <w:color w:val="002355"/>
          <w:sz w:val="40"/>
          <w:szCs w:val="40"/>
        </w:rPr>
        <w:br/>
      </w:r>
      <w:r>
        <w:t xml:space="preserve">Radebeul, </w:t>
      </w:r>
      <w:r w:rsidR="004C7571">
        <w:t>10</w:t>
      </w:r>
      <w:r>
        <w:t>.</w:t>
      </w:r>
      <w:r w:rsidR="004C7571">
        <w:t>10</w:t>
      </w:r>
      <w:r>
        <w:t>.2023</w:t>
      </w:r>
      <w:r>
        <w:br/>
        <w:t>The offset division of India’s Printmann Group has invested in new sheetfed offset technology from Koenig &amp; Bauer. Based in Navi Mumbai, the biggest planne</w:t>
      </w:r>
      <w:r>
        <w:t>d city in the world, the company supplies the full spectrum of labels and packaging, for example for pharmaceutical products and for the FMCG and food industries. It was founded in 1987</w:t>
      </w:r>
      <w:r>
        <w:rPr>
          <w:b/>
        </w:rPr>
        <w:t>.</w:t>
      </w:r>
    </w:p>
    <w:p w:rsidR="00D3561D" w:rsidRDefault="00945747">
      <w:pPr>
        <w:rPr>
          <w:b/>
        </w:rPr>
      </w:pPr>
      <w:r>
        <w:t>After working with machinery from other manufacturers for almost 35 y</w:t>
      </w:r>
      <w:r>
        <w:t>ears, Printmann installed its first Rapida sheetfed offset press from Koenig &amp; Bauer in 2021. The new relationship began with a Rapida 105 (max. sheet format 740 x 1,050 mm) with seven inking units, coater and extended delivery as a hybrid press for conven</w:t>
      </w:r>
      <w:r>
        <w:t>tional and UV production</w:t>
      </w:r>
      <w:r>
        <w:rPr>
          <w:highlight w:val="white"/>
        </w:rPr>
        <w:t>.</w:t>
      </w:r>
    </w:p>
    <w:p w:rsidR="00D3561D" w:rsidRDefault="00945747">
      <w:pPr>
        <w:pStyle w:val="berschrift3"/>
      </w:pPr>
      <w:bookmarkStart w:id="2" w:name="_heading=h.1fob9te" w:colFirst="0" w:colLast="0"/>
      <w:bookmarkEnd w:id="2"/>
      <w:r>
        <w:t>Second press after two years</w:t>
      </w:r>
    </w:p>
    <w:p w:rsidR="00D3561D" w:rsidRDefault="00945747">
      <w:pPr>
        <w:rPr>
          <w:b/>
        </w:rPr>
      </w:pPr>
      <w:r>
        <w:t>A second press has been installed this year. Again, a Rapida 105, this time with six inking units, and naturally also with a coater and all the necessary equipment for mixed UV production. In this conf</w:t>
      </w:r>
      <w:r>
        <w:t>iguration, it likewise offers every possibility for product refinement and finishing</w:t>
      </w:r>
      <w:r>
        <w:rPr>
          <w:b/>
        </w:rPr>
        <w:t>.</w:t>
      </w:r>
    </w:p>
    <w:p w:rsidR="00D3561D" w:rsidRDefault="00945747">
      <w:pPr>
        <w:rPr>
          <w:b/>
        </w:rPr>
      </w:pPr>
      <w:r>
        <w:t>The two medium-format Rapidas boast almost identical features: raised foundations for board production up to 1.2 mm, production speeds of up to 16,000 sheets per hour, tw</w:t>
      </w:r>
      <w:r>
        <w:t>o-section extended delivery, non-stop pile-changing facilities for both feeder and delivery, inking unit temperature control, CleanTronic Multi (washing systems for the alternating use of conventional and UV inks), EES (Emission Extraction System), VariDry</w:t>
      </w:r>
      <w:r>
        <w:t xml:space="preserve"> IR/hot-air/UV dryers and further automation solutions</w:t>
      </w:r>
      <w:r>
        <w:rPr>
          <w:highlight w:val="white"/>
        </w:rPr>
        <w:t>.</w:t>
      </w:r>
    </w:p>
    <w:p w:rsidR="00D3561D" w:rsidRDefault="00945747">
      <w:pPr>
        <w:pStyle w:val="berschrift3"/>
      </w:pPr>
      <w:r>
        <w:t>High performance and productivity</w:t>
      </w:r>
    </w:p>
    <w:p w:rsidR="00D3561D" w:rsidRDefault="00945747">
      <w:r>
        <w:t>Printmann is one of a significant number of highly efficient and technologically up-to-date print and packaging companies on the Indian subcontinent. It possesses cer</w:t>
      </w:r>
      <w:r>
        <w:t xml:space="preserve">tification to ISO 9001:2008 and PS </w:t>
      </w:r>
      <w:r>
        <w:lastRenderedPageBreak/>
        <w:t xml:space="preserve">9000:2011 (pharmaceutical packaging materials). With BRC:IOP accreditation, it also meets a global standard for food packaging. </w:t>
      </w:r>
    </w:p>
    <w:p w:rsidR="00D3561D" w:rsidRDefault="00945747">
      <w:r>
        <w:t>A long list of awards bears witness to Printmann’s quality and performance, including severa</w:t>
      </w:r>
      <w:r>
        <w:t>l Label Awards and National Awards for Excellence in Printing (in silver and gold). In this demanding environment, both Rapida 105 presses supply daily proof of their special capabilities.</w:t>
      </w:r>
    </w:p>
    <w:p w:rsidR="00D3561D" w:rsidRDefault="00945747">
      <w:pPr>
        <w:rPr>
          <w:color w:val="000000"/>
        </w:rPr>
      </w:pPr>
      <w:bookmarkStart w:id="3" w:name="_heading=h.3znysh7" w:colFirst="0" w:colLast="0"/>
      <w:bookmarkEnd w:id="3"/>
      <w:r>
        <w:rPr>
          <w:u w:val="single"/>
        </w:rPr>
        <w:t>Interesting website:</w:t>
      </w:r>
      <w:r>
        <w:t xml:space="preserve"> www.printmann.com</w:t>
      </w:r>
    </w:p>
    <w:p w:rsidR="00D3561D" w:rsidRDefault="00D3561D"/>
    <w:p w:rsidR="00D3561D" w:rsidRDefault="00945747">
      <w:pPr>
        <w:pStyle w:val="berschrift4"/>
      </w:pPr>
      <w:bookmarkStart w:id="4" w:name="_heading=h.2et92p0" w:colFirst="0" w:colLast="0"/>
      <w:bookmarkEnd w:id="4"/>
      <w:r>
        <w:t>Photo 1:</w:t>
      </w:r>
    </w:p>
    <w:p w:rsidR="00D3561D" w:rsidRDefault="00945747">
      <w:r>
        <w:t>Photo call to mark</w:t>
      </w:r>
      <w:r>
        <w:t xml:space="preserve"> commissioning of the second Rapida 105 (left to right): Aditya Surana, managing director of Indo Polygraph; Printmann directors Ankit and Tejas Tanna; Bipin Tanna, company founder and CMD; Indo Polygraph director Shashank Surana </w:t>
      </w:r>
    </w:p>
    <w:p w:rsidR="00D3561D" w:rsidRDefault="00D3561D"/>
    <w:p w:rsidR="00D3561D" w:rsidRDefault="00945747">
      <w:pPr>
        <w:pStyle w:val="berschrift4"/>
      </w:pPr>
      <w:bookmarkStart w:id="5" w:name="_heading=h.tyjcwt" w:colFirst="0" w:colLast="0"/>
      <w:bookmarkEnd w:id="5"/>
      <w:r>
        <w:t>Press contact</w:t>
      </w:r>
    </w:p>
    <w:p w:rsidR="00D3561D" w:rsidRPr="004C7571" w:rsidRDefault="00945747">
      <w:pPr>
        <w:rPr>
          <w:lang w:val="de-DE"/>
        </w:rPr>
      </w:pPr>
      <w:r>
        <w:t>Koenig</w:t>
      </w:r>
      <w:r>
        <w:t xml:space="preserve"> &amp; Bauer Sheetfed AG &amp; Co. </w:t>
      </w:r>
      <w:r w:rsidRPr="004C7571">
        <w:rPr>
          <w:lang w:val="de-DE"/>
        </w:rPr>
        <w:t>KG</w:t>
      </w:r>
      <w:r w:rsidRPr="004C7571">
        <w:rPr>
          <w:lang w:val="de-DE"/>
        </w:rPr>
        <w:br/>
        <w:t>Martin Dänhardt</w:t>
      </w:r>
      <w:r w:rsidRPr="004C7571">
        <w:rPr>
          <w:lang w:val="de-DE"/>
        </w:rPr>
        <w:br/>
        <w:t>T +49 351 833-2580</w:t>
      </w:r>
      <w:r w:rsidRPr="004C7571">
        <w:rPr>
          <w:lang w:val="de-DE"/>
        </w:rPr>
        <w:br/>
        <w:t xml:space="preserve">M </w:t>
      </w:r>
      <w:hyperlink r:id="rId8">
        <w:r w:rsidRPr="004C7571">
          <w:rPr>
            <w:color w:val="0000FF"/>
            <w:u w:val="single"/>
            <w:lang w:val="de-DE"/>
          </w:rPr>
          <w:t>martin.daenhardt@koenig-bauer.com</w:t>
        </w:r>
      </w:hyperlink>
    </w:p>
    <w:p w:rsidR="00D3561D" w:rsidRPr="004C7571" w:rsidRDefault="00D3561D">
      <w:pPr>
        <w:rPr>
          <w:lang w:val="de-DE"/>
        </w:rPr>
      </w:pPr>
    </w:p>
    <w:p w:rsidR="00D3561D" w:rsidRDefault="00945747">
      <w:pPr>
        <w:pStyle w:val="berschrift4"/>
      </w:pPr>
      <w:bookmarkStart w:id="6" w:name="_heading=h.3dy6vkm" w:colFirst="0" w:colLast="0"/>
      <w:bookmarkEnd w:id="6"/>
      <w:r>
        <w:t>About Koenig &amp; Bauer</w:t>
      </w:r>
    </w:p>
    <w:p w:rsidR="00D3561D" w:rsidRDefault="00945747">
      <w:pPr>
        <w:shd w:val="clear" w:color="auto" w:fill="FFFFFF"/>
        <w:spacing w:line="250" w:lineRule="auto"/>
        <w:rPr>
          <w:sz w:val="18"/>
          <w:szCs w:val="18"/>
        </w:rPr>
      </w:pPr>
      <w:r>
        <w:rPr>
          <w:color w:val="000000"/>
        </w:rPr>
        <w:t>Koenig &amp; Bauer is a globally active printing press manufacturer with headquarters in Würzburg (Germany). It supplies machines and software solutions covering the entire printing, finishing and conversion process, with a particular focus on</w:t>
      </w:r>
      <w:bookmarkStart w:id="7" w:name="_GoBack"/>
      <w:bookmarkEnd w:id="7"/>
      <w:r>
        <w:rPr>
          <w:color w:val="000000"/>
        </w:rPr>
        <w:t xml:space="preserve"> packaging. Machi</w:t>
      </w:r>
      <w:r>
        <w:rPr>
          <w:color w:val="000000"/>
        </w:rPr>
        <w:t>nes from Koenig &amp; Bauer are capable of printing on practically all substrates – the portfolio ranges from banknotes to board, corrugated, film, metal and glass packaging, and includes book, display, coding, decor, magazine, advertising and newspaper printi</w:t>
      </w:r>
      <w:r>
        <w:rPr>
          <w:color w:val="000000"/>
        </w:rPr>
        <w:t>ng. With a history extending back more than 200 years, Koenig &amp; Bauer is the oldest printing press manufacturer in the world and is today at home in virtually all printing processes. Together, the group companies count a total of around 5,500 employees. Ko</w:t>
      </w:r>
      <w:r>
        <w:rPr>
          <w:color w:val="000000"/>
        </w:rPr>
        <w:t>enig &amp; Bauer operates manufacturing plants at ten locations in Europe, alongside a global sales and service network. In the financial year 2022, annual sales amounted to €1.2 billion.</w:t>
      </w:r>
    </w:p>
    <w:p w:rsidR="00D3561D" w:rsidRDefault="00945747">
      <w:r>
        <w:t xml:space="preserve">Further information can be found at </w:t>
      </w:r>
      <w:hyperlink r:id="rId9">
        <w:r>
          <w:rPr>
            <w:color w:val="1155CC"/>
            <w:u w:val="single"/>
          </w:rPr>
          <w:t>www.koenig-bauer.com</w:t>
        </w:r>
      </w:hyperlink>
    </w:p>
    <w:p w:rsidR="00D3561D" w:rsidRDefault="00D3561D"/>
    <w:sectPr w:rsidR="00D3561D">
      <w:headerReference w:type="even" r:id="rId10"/>
      <w:headerReference w:type="default" r:id="rId11"/>
      <w:footerReference w:type="even" r:id="rId12"/>
      <w:footerReference w:type="default" r:id="rId13"/>
      <w:headerReference w:type="first" r:id="rId14"/>
      <w:footerReference w:type="first" r:id="rId15"/>
      <w:pgSz w:w="11906" w:h="16838"/>
      <w:pgMar w:top="2381" w:right="1418" w:bottom="1361" w:left="1418" w:header="1020"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747" w:rsidRDefault="00945747">
      <w:pPr>
        <w:spacing w:after="0" w:line="240" w:lineRule="auto"/>
      </w:pPr>
      <w:r>
        <w:separator/>
      </w:r>
    </w:p>
  </w:endnote>
  <w:endnote w:type="continuationSeparator" w:id="0">
    <w:p w:rsidR="00945747" w:rsidRDefault="0094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1D" w:rsidRDefault="00D3561D">
    <w:pPr>
      <w:pBdr>
        <w:top w:val="nil"/>
        <w:left w:val="nil"/>
        <w:bottom w:val="nil"/>
        <w:right w:val="nil"/>
        <w:between w:val="nil"/>
      </w:pBdr>
      <w:tabs>
        <w:tab w:val="center" w:pos="4536"/>
        <w:tab w:val="right" w:pos="9072"/>
      </w:tabs>
      <w:jc w:val="right"/>
      <w:rPr>
        <w:color w:val="0000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1D" w:rsidRDefault="00D3561D">
    <w:pPr>
      <w:widowControl w:val="0"/>
      <w:pBdr>
        <w:top w:val="nil"/>
        <w:left w:val="nil"/>
        <w:bottom w:val="nil"/>
        <w:right w:val="nil"/>
        <w:between w:val="nil"/>
      </w:pBdr>
      <w:spacing w:after="0"/>
      <w:rPr>
        <w:color w:val="000000"/>
        <w:sz w:val="14"/>
        <w:szCs w:val="14"/>
      </w:rPr>
    </w:pPr>
  </w:p>
  <w:tbl>
    <w:tblPr>
      <w:tblStyle w:val="a2"/>
      <w:tblW w:w="9060" w:type="dxa"/>
      <w:tblInd w:w="0" w:type="dxa"/>
      <w:tblBorders>
        <w:top w:val="single" w:sz="4" w:space="0" w:color="FFFFFF"/>
        <w:left w:val="single" w:sz="4" w:space="0" w:color="FFFFFF"/>
        <w:bottom w:val="single" w:sz="4" w:space="0" w:color="FFFFFF"/>
        <w:right w:val="single" w:sz="4" w:space="0" w:color="FFFFFF"/>
        <w:insideH w:val="single" w:sz="4" w:space="0" w:color="BFBFBF"/>
        <w:insideV w:val="single" w:sz="4" w:space="0" w:color="FFFFFF"/>
      </w:tblBorders>
      <w:tblLayout w:type="fixed"/>
      <w:tblLook w:val="0400" w:firstRow="0" w:lastRow="0" w:firstColumn="0" w:lastColumn="0" w:noHBand="0" w:noVBand="1"/>
    </w:tblPr>
    <w:tblGrid>
      <w:gridCol w:w="4530"/>
      <w:gridCol w:w="4530"/>
    </w:tblGrid>
    <w:tr w:rsidR="00D3561D">
      <w:tc>
        <w:tcPr>
          <w:tcW w:w="4530" w:type="dxa"/>
        </w:tcPr>
        <w:p w:rsidR="00D3561D" w:rsidRDefault="00D3561D">
          <w:pPr>
            <w:pBdr>
              <w:top w:val="nil"/>
              <w:left w:val="nil"/>
              <w:bottom w:val="nil"/>
              <w:right w:val="nil"/>
              <w:between w:val="nil"/>
            </w:pBdr>
            <w:tabs>
              <w:tab w:val="center" w:pos="4536"/>
              <w:tab w:val="right" w:pos="9072"/>
            </w:tabs>
            <w:spacing w:line="276" w:lineRule="auto"/>
            <w:rPr>
              <w:color w:val="000000"/>
              <w:sz w:val="14"/>
              <w:szCs w:val="14"/>
            </w:rPr>
          </w:pPr>
        </w:p>
      </w:tc>
      <w:tc>
        <w:tcPr>
          <w:tcW w:w="4530" w:type="dxa"/>
        </w:tcPr>
        <w:p w:rsidR="00D3561D" w:rsidRDefault="00945747">
          <w:pPr>
            <w:pBdr>
              <w:top w:val="nil"/>
              <w:left w:val="nil"/>
              <w:bottom w:val="nil"/>
              <w:right w:val="nil"/>
              <w:between w:val="nil"/>
            </w:pBdr>
            <w:tabs>
              <w:tab w:val="center" w:pos="4536"/>
              <w:tab w:val="right" w:pos="9072"/>
            </w:tabs>
            <w:spacing w:line="276" w:lineRule="auto"/>
            <w:jc w:val="right"/>
            <w:rPr>
              <w:color w:val="000000"/>
              <w:sz w:val="14"/>
              <w:szCs w:val="14"/>
            </w:rPr>
          </w:pPr>
          <w:r>
            <w:rPr>
              <w:color w:val="000000"/>
              <w:sz w:val="14"/>
              <w:szCs w:val="14"/>
            </w:rPr>
            <w:t xml:space="preserve">Two medium-format Rapidas for Printmann | </w:t>
          </w:r>
          <w:r>
            <w:rPr>
              <w:color w:val="000000"/>
              <w:sz w:val="14"/>
              <w:szCs w:val="14"/>
            </w:rPr>
            <w:fldChar w:fldCharType="begin"/>
          </w:r>
          <w:r>
            <w:rPr>
              <w:color w:val="000000"/>
              <w:sz w:val="14"/>
              <w:szCs w:val="14"/>
            </w:rPr>
            <w:instrText>PAGE</w:instrText>
          </w:r>
          <w:r w:rsidR="004C7571">
            <w:rPr>
              <w:color w:val="000000"/>
              <w:sz w:val="14"/>
              <w:szCs w:val="14"/>
            </w:rPr>
            <w:fldChar w:fldCharType="separate"/>
          </w:r>
          <w:r w:rsidR="004C7571">
            <w:rPr>
              <w:noProof/>
              <w:color w:val="000000"/>
              <w:sz w:val="14"/>
              <w:szCs w:val="14"/>
            </w:rPr>
            <w:t>1</w:t>
          </w:r>
          <w:r>
            <w:rPr>
              <w:color w:val="000000"/>
              <w:sz w:val="14"/>
              <w:szCs w:val="14"/>
            </w:rPr>
            <w:fldChar w:fldCharType="end"/>
          </w:r>
        </w:p>
      </w:tc>
    </w:tr>
  </w:tbl>
  <w:p w:rsidR="00D3561D" w:rsidRDefault="00D3561D">
    <w:pPr>
      <w:pBdr>
        <w:top w:val="nil"/>
        <w:left w:val="nil"/>
        <w:bottom w:val="nil"/>
        <w:right w:val="nil"/>
        <w:between w:val="nil"/>
      </w:pBdr>
      <w:tabs>
        <w:tab w:val="center" w:pos="4536"/>
        <w:tab w:val="right" w:pos="9072"/>
      </w:tabs>
      <w:spacing w:after="0"/>
      <w:jc w:val="right"/>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1D" w:rsidRDefault="00D3561D">
    <w:pPr>
      <w:widowControl w:val="0"/>
      <w:pBdr>
        <w:top w:val="nil"/>
        <w:left w:val="nil"/>
        <w:bottom w:val="nil"/>
        <w:right w:val="nil"/>
        <w:between w:val="nil"/>
      </w:pBdr>
      <w:spacing w:after="0"/>
      <w:rPr>
        <w:color w:val="000000"/>
        <w:sz w:val="14"/>
        <w:szCs w:val="14"/>
      </w:rPr>
    </w:pPr>
  </w:p>
  <w:tbl>
    <w:tblPr>
      <w:tblStyle w:val="a1"/>
      <w:tblW w:w="9781" w:type="dxa"/>
      <w:tblInd w:w="-3" w:type="dxa"/>
      <w:tblBorders>
        <w:top w:val="single" w:sz="4" w:space="0" w:color="FFFFFF"/>
        <w:left w:val="single" w:sz="4" w:space="0" w:color="FFFFFF"/>
        <w:bottom w:val="single" w:sz="4" w:space="0" w:color="FFFFFF"/>
        <w:right w:val="single" w:sz="4" w:space="0" w:color="FFFFFF"/>
        <w:insideH w:val="nil"/>
        <w:insideV w:val="single" w:sz="4" w:space="0" w:color="FFFFFF"/>
      </w:tblBorders>
      <w:tblLayout w:type="fixed"/>
      <w:tblLook w:val="0400" w:firstRow="0" w:lastRow="0" w:firstColumn="0" w:lastColumn="0" w:noHBand="0" w:noVBand="1"/>
    </w:tblPr>
    <w:tblGrid>
      <w:gridCol w:w="2552"/>
      <w:gridCol w:w="4536"/>
      <w:gridCol w:w="2693"/>
    </w:tblGrid>
    <w:tr w:rsidR="00D3561D">
      <w:trPr>
        <w:trHeight w:val="620"/>
      </w:trPr>
      <w:tc>
        <w:tcPr>
          <w:tcW w:w="0" w:type="auto"/>
        </w:tcPr>
        <w:p w:rsidR="00D3561D" w:rsidRDefault="00D3561D">
          <w:pPr>
            <w:pBdr>
              <w:top w:val="nil"/>
              <w:left w:val="nil"/>
              <w:bottom w:val="nil"/>
              <w:right w:val="nil"/>
              <w:between w:val="nil"/>
            </w:pBdr>
            <w:spacing w:after="240" w:line="288" w:lineRule="auto"/>
            <w:rPr>
              <w:color w:val="000000"/>
              <w:sz w:val="20"/>
              <w:szCs w:val="20"/>
            </w:rPr>
          </w:pPr>
        </w:p>
      </w:tc>
      <w:tc>
        <w:tcPr>
          <w:tcW w:w="0" w:type="auto"/>
        </w:tcPr>
        <w:p w:rsidR="00D3561D" w:rsidRDefault="00D3561D">
          <w:pPr>
            <w:pBdr>
              <w:top w:val="nil"/>
              <w:left w:val="nil"/>
              <w:bottom w:val="nil"/>
              <w:right w:val="nil"/>
              <w:between w:val="nil"/>
            </w:pBdr>
            <w:spacing w:after="240" w:line="288" w:lineRule="auto"/>
            <w:rPr>
              <w:color w:val="000000"/>
              <w:sz w:val="20"/>
              <w:szCs w:val="20"/>
            </w:rPr>
          </w:pPr>
        </w:p>
      </w:tc>
      <w:tc>
        <w:tcPr>
          <w:tcW w:w="0" w:type="auto"/>
        </w:tcPr>
        <w:p w:rsidR="00D3561D" w:rsidRDefault="00D3561D">
          <w:pPr>
            <w:pBdr>
              <w:top w:val="nil"/>
              <w:left w:val="nil"/>
              <w:bottom w:val="nil"/>
              <w:right w:val="nil"/>
              <w:between w:val="nil"/>
            </w:pBdr>
            <w:spacing w:after="240" w:line="288" w:lineRule="auto"/>
            <w:rPr>
              <w:color w:val="000000"/>
              <w:sz w:val="20"/>
              <w:szCs w:val="20"/>
            </w:rPr>
          </w:pPr>
        </w:p>
      </w:tc>
    </w:tr>
  </w:tbl>
  <w:p w:rsidR="00D3561D" w:rsidRDefault="00D3561D">
    <w:pPr>
      <w:pBdr>
        <w:top w:val="nil"/>
        <w:left w:val="nil"/>
        <w:bottom w:val="nil"/>
        <w:right w:val="nil"/>
        <w:between w:val="nil"/>
      </w:pBdr>
      <w:tabs>
        <w:tab w:val="center" w:pos="4536"/>
        <w:tab w:val="right" w:pos="9072"/>
      </w:tabs>
      <w:spacing w:after="0"/>
      <w:jc w:val="right"/>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747" w:rsidRDefault="00945747">
      <w:pPr>
        <w:spacing w:after="0" w:line="240" w:lineRule="auto"/>
      </w:pPr>
      <w:r>
        <w:separator/>
      </w:r>
    </w:p>
  </w:footnote>
  <w:footnote w:type="continuationSeparator" w:id="0">
    <w:p w:rsidR="00945747" w:rsidRDefault="00945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1D" w:rsidRDefault="00D3561D">
    <w:pPr>
      <w:pBdr>
        <w:top w:val="nil"/>
        <w:left w:val="nil"/>
        <w:bottom w:val="nil"/>
        <w:right w:val="nil"/>
        <w:between w:val="nil"/>
      </w:pBdr>
      <w:tabs>
        <w:tab w:val="center" w:pos="4536"/>
        <w:tab w:val="right" w:pos="9072"/>
      </w:tabs>
      <w:spacing w:line="240" w:lineRule="auto"/>
      <w:rPr>
        <w:color w:val="000000"/>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1D" w:rsidRDefault="00945747">
    <w:pPr>
      <w:pBdr>
        <w:top w:val="nil"/>
        <w:left w:val="nil"/>
        <w:bottom w:val="nil"/>
        <w:right w:val="nil"/>
        <w:between w:val="nil"/>
      </w:pBdr>
      <w:tabs>
        <w:tab w:val="center" w:pos="4536"/>
        <w:tab w:val="right" w:pos="9072"/>
      </w:tabs>
      <w:spacing w:line="240" w:lineRule="auto"/>
      <w:jc w:val="center"/>
      <w:rPr>
        <w:color w:val="000000"/>
        <w:sz w:val="15"/>
        <w:szCs w:val="15"/>
      </w:rPr>
    </w:pPr>
    <w:r>
      <w:rPr>
        <w:noProof/>
        <w:color w:val="000000"/>
        <w:sz w:val="15"/>
        <w:szCs w:val="15"/>
        <w:lang w:val="de-DE"/>
      </w:rPr>
      <w:drawing>
        <wp:inline distT="0" distB="0" distL="0" distR="0">
          <wp:extent cx="2524125" cy="22383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4125" cy="22383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1D" w:rsidRDefault="00945747">
    <w:pPr>
      <w:pBdr>
        <w:top w:val="nil"/>
        <w:left w:val="nil"/>
        <w:bottom w:val="nil"/>
        <w:right w:val="nil"/>
        <w:between w:val="nil"/>
      </w:pBdr>
      <w:tabs>
        <w:tab w:val="center" w:pos="4536"/>
        <w:tab w:val="right" w:pos="9072"/>
      </w:tabs>
      <w:spacing w:line="240" w:lineRule="auto"/>
      <w:jc w:val="center"/>
      <w:rPr>
        <w:color w:val="000000"/>
        <w:sz w:val="15"/>
        <w:szCs w:val="15"/>
      </w:rPr>
    </w:pPr>
    <w:r>
      <w:rPr>
        <w:noProof/>
        <w:color w:val="000000"/>
        <w:sz w:val="15"/>
        <w:szCs w:val="15"/>
        <w:lang w:val="de-DE"/>
      </w:rPr>
      <w:drawing>
        <wp:inline distT="0" distB="0" distL="0" distR="0">
          <wp:extent cx="2524721" cy="216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4721" cy="216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209C0"/>
    <w:multiLevelType w:val="multilevel"/>
    <w:tmpl w:val="89CE4214"/>
    <w:lvl w:ilvl="0">
      <w:start w:val="1"/>
      <w:numFmt w:val="bullet"/>
      <w:lvlText w:val="•"/>
      <w:lvlJc w:val="left"/>
      <w:pPr>
        <w:ind w:left="340" w:hanging="340"/>
      </w:pPr>
      <w:rPr>
        <w:rFonts w:ascii="Times New Roman" w:eastAsia="Times New Roman" w:hAnsi="Times New Roman" w:cs="Times New Roman"/>
      </w:rPr>
    </w:lvl>
    <w:lvl w:ilvl="1">
      <w:start w:val="1"/>
      <w:numFmt w:val="bullet"/>
      <w:lvlText w:val="•"/>
      <w:lvlJc w:val="left"/>
      <w:pPr>
        <w:ind w:left="680" w:hanging="340"/>
      </w:pPr>
      <w:rPr>
        <w:rFonts w:ascii="Times New Roman" w:eastAsia="Times New Roman" w:hAnsi="Times New Roman" w:cs="Times New Roman"/>
      </w:rPr>
    </w:lvl>
    <w:lvl w:ilvl="2">
      <w:start w:val="1"/>
      <w:numFmt w:val="bullet"/>
      <w:lvlText w:val="•"/>
      <w:lvlJc w:val="left"/>
      <w:pPr>
        <w:ind w:left="1020" w:hanging="340"/>
      </w:pPr>
      <w:rPr>
        <w:rFonts w:ascii="Times New Roman" w:eastAsia="Times New Roman" w:hAnsi="Times New Roman" w:cs="Times New Roman"/>
      </w:rPr>
    </w:lvl>
    <w:lvl w:ilvl="3">
      <w:start w:val="1"/>
      <w:numFmt w:val="bullet"/>
      <w:lvlText w:val="•"/>
      <w:lvlJc w:val="left"/>
      <w:pPr>
        <w:ind w:left="1360" w:hanging="340"/>
      </w:pPr>
      <w:rPr>
        <w:rFonts w:ascii="Times New Roman" w:eastAsia="Times New Roman" w:hAnsi="Times New Roman" w:cs="Times New Roman"/>
      </w:rPr>
    </w:lvl>
    <w:lvl w:ilvl="4">
      <w:start w:val="1"/>
      <w:numFmt w:val="bullet"/>
      <w:lvlText w:val="•"/>
      <w:lvlJc w:val="left"/>
      <w:pPr>
        <w:ind w:left="1700" w:hanging="340"/>
      </w:pPr>
      <w:rPr>
        <w:rFonts w:ascii="Times New Roman" w:eastAsia="Times New Roman" w:hAnsi="Times New Roman" w:cs="Times New Roman"/>
      </w:rPr>
    </w:lvl>
    <w:lvl w:ilvl="5">
      <w:start w:val="1"/>
      <w:numFmt w:val="bullet"/>
      <w:lvlText w:val="•"/>
      <w:lvlJc w:val="left"/>
      <w:pPr>
        <w:ind w:left="2040" w:hanging="340"/>
      </w:pPr>
      <w:rPr>
        <w:rFonts w:ascii="Times New Roman" w:eastAsia="Times New Roman" w:hAnsi="Times New Roman" w:cs="Times New Roman"/>
      </w:rPr>
    </w:lvl>
    <w:lvl w:ilvl="6">
      <w:start w:val="1"/>
      <w:numFmt w:val="bullet"/>
      <w:lvlText w:val="•"/>
      <w:lvlJc w:val="left"/>
      <w:pPr>
        <w:ind w:left="2380" w:hanging="340"/>
      </w:pPr>
      <w:rPr>
        <w:rFonts w:ascii="Times New Roman" w:eastAsia="Times New Roman" w:hAnsi="Times New Roman" w:cs="Times New Roman"/>
      </w:rPr>
    </w:lvl>
    <w:lvl w:ilvl="7">
      <w:start w:val="1"/>
      <w:numFmt w:val="bullet"/>
      <w:lvlText w:val="•"/>
      <w:lvlJc w:val="left"/>
      <w:pPr>
        <w:ind w:left="2720" w:hanging="340"/>
      </w:pPr>
      <w:rPr>
        <w:rFonts w:ascii="Times New Roman" w:eastAsia="Times New Roman" w:hAnsi="Times New Roman" w:cs="Times New Roman"/>
      </w:rPr>
    </w:lvl>
    <w:lvl w:ilvl="8">
      <w:start w:val="1"/>
      <w:numFmt w:val="bullet"/>
      <w:lvlText w:val="•"/>
      <w:lvlJc w:val="left"/>
      <w:pPr>
        <w:ind w:left="3060" w:hanging="340"/>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1D"/>
    <w:rsid w:val="004C7571"/>
    <w:rsid w:val="00945747"/>
    <w:rsid w:val="00D356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055B"/>
  <w15:docId w15:val="{ADD04BA0-8A96-4826-8634-41A71753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de-DE"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line="240" w:lineRule="auto"/>
      <w:outlineLvl w:val="0"/>
    </w:pPr>
    <w:rPr>
      <w:b/>
      <w:color w:val="002355"/>
      <w:sz w:val="40"/>
      <w:szCs w:val="40"/>
    </w:rPr>
  </w:style>
  <w:style w:type="paragraph" w:styleId="berschrift2">
    <w:name w:val="heading 2"/>
    <w:basedOn w:val="Standard"/>
    <w:next w:val="Standard"/>
    <w:pPr>
      <w:keepNext/>
      <w:keepLines/>
      <w:spacing w:after="0"/>
      <w:outlineLvl w:val="1"/>
    </w:pPr>
    <w:rPr>
      <w:b/>
      <w:color w:val="002355"/>
      <w:sz w:val="28"/>
      <w:szCs w:val="28"/>
    </w:rPr>
  </w:style>
  <w:style w:type="paragraph" w:styleId="berschrift3">
    <w:name w:val="heading 3"/>
    <w:basedOn w:val="Standard"/>
    <w:next w:val="Standard"/>
    <w:pPr>
      <w:keepNext/>
      <w:keepLines/>
      <w:spacing w:after="0"/>
      <w:outlineLvl w:val="2"/>
    </w:pPr>
    <w:rPr>
      <w:b/>
      <w:color w:val="002355"/>
    </w:rPr>
  </w:style>
  <w:style w:type="paragraph" w:styleId="berschrift4">
    <w:name w:val="heading 4"/>
    <w:basedOn w:val="Standard"/>
    <w:next w:val="Standard"/>
    <w:pPr>
      <w:keepNext/>
      <w:keepLines/>
      <w:spacing w:after="0"/>
      <w:outlineLvl w:val="3"/>
    </w:pPr>
    <w:rPr>
      <w:b/>
      <w:color w:val="000000"/>
    </w:rPr>
  </w:style>
  <w:style w:type="paragraph" w:styleId="berschrift5">
    <w:name w:val="heading 5"/>
    <w:basedOn w:val="Standard"/>
    <w:next w:val="Standard"/>
    <w:pPr>
      <w:keepNext/>
      <w:keepLines/>
      <w:spacing w:after="0"/>
      <w:outlineLvl w:val="4"/>
    </w:pPr>
    <w:rPr>
      <w:b/>
      <w:color w:val="000000"/>
    </w:rPr>
  </w:style>
  <w:style w:type="paragraph" w:styleId="berschrift6">
    <w:name w:val="heading 6"/>
    <w:basedOn w:val="Standard"/>
    <w:next w:val="Standard"/>
    <w:pPr>
      <w:keepNext/>
      <w:keepLines/>
      <w:spacing w:after="0"/>
      <w:outlineLvl w:val="5"/>
    </w:pPr>
    <w:rPr>
      <w:b/>
      <w:color w:val="00112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tabs>
        <w:tab w:val="left" w:pos="850"/>
      </w:tabs>
      <w:spacing w:before="840" w:after="600" w:line="240" w:lineRule="auto"/>
    </w:pPr>
    <w:rPr>
      <w:b/>
      <w:color w:val="002355"/>
      <w:sz w:val="60"/>
      <w:szCs w:val="60"/>
    </w:rPr>
  </w:style>
  <w:style w:type="table" w:customStyle="1" w:styleId="TableNormal0">
    <w:name w:val="Table Normal"/>
    <w:tblPr>
      <w:tblCellMar>
        <w:top w:w="0" w:type="dxa"/>
        <w:left w:w="0" w:type="dxa"/>
        <w:bottom w:w="0" w:type="dxa"/>
        <w:right w:w="0" w:type="dxa"/>
      </w:tblCellMar>
    </w:tblPr>
  </w:style>
  <w:style w:type="paragraph" w:styleId="Untertitel">
    <w:name w:val="Subtitle"/>
    <w:basedOn w:val="Standard"/>
    <w:next w:val="Standard"/>
    <w:pPr>
      <w:spacing w:line="240" w:lineRule="auto"/>
    </w:pPr>
    <w:rPr>
      <w:color w:val="002355"/>
      <w:sz w:val="28"/>
      <w:szCs w:val="28"/>
    </w:rPr>
  </w:style>
  <w:style w:type="table" w:customStyle="1" w:styleId="a">
    <w:basedOn w:val="TableNormal0"/>
    <w:pPr>
      <w:spacing w:after="0" w:line="240" w:lineRule="auto"/>
    </w:pPr>
    <w:rPr>
      <w:sz w:val="17"/>
      <w:szCs w:val="17"/>
    </w:rPr>
    <w:tblPr>
      <w:tblStyleRowBandSize w:val="1"/>
      <w:tblStyleColBandSize w:val="1"/>
      <w:tblCellMar>
        <w:top w:w="57" w:type="dxa"/>
        <w:bottom w:w="28" w:type="dxa"/>
      </w:tblCellMar>
    </w:tblPr>
  </w:style>
  <w:style w:type="table" w:customStyle="1" w:styleId="a0">
    <w:basedOn w:val="TableNormal0"/>
    <w:pPr>
      <w:spacing w:after="0" w:line="240" w:lineRule="auto"/>
    </w:pPr>
    <w:rPr>
      <w:sz w:val="17"/>
      <w:szCs w:val="17"/>
    </w:rPr>
    <w:tblPr>
      <w:tblStyleRowBandSize w:val="1"/>
      <w:tblStyleColBandSize w:val="1"/>
      <w:tblCellMar>
        <w:top w:w="57" w:type="dxa"/>
        <w:bottom w:w="28" w:type="dxa"/>
      </w:tblCellMar>
    </w:tblPr>
  </w:style>
  <w:style w:type="character" w:styleId="Hyperlink">
    <w:name w:val="Hyperlink"/>
    <w:basedOn w:val="Absatz-Standardschriftart"/>
    <w:uiPriority w:val="99"/>
    <w:unhideWhenUsed/>
    <w:rsid w:val="00136A4D"/>
    <w:rPr>
      <w:color w:val="0000FF" w:themeColor="hyperlink"/>
      <w:u w:val="single"/>
    </w:rPr>
  </w:style>
  <w:style w:type="character" w:styleId="Fett">
    <w:name w:val="Strong"/>
    <w:basedOn w:val="Absatz-Standardschriftart"/>
    <w:uiPriority w:val="22"/>
    <w:qFormat/>
    <w:rsid w:val="003142A1"/>
    <w:rPr>
      <w:b/>
      <w:bCs/>
    </w:rPr>
  </w:style>
  <w:style w:type="character" w:styleId="Hervorhebung">
    <w:name w:val="Emphasis"/>
    <w:basedOn w:val="Absatz-Standardschriftart"/>
    <w:uiPriority w:val="20"/>
    <w:qFormat/>
    <w:rsid w:val="002917DC"/>
    <w:rPr>
      <w:i/>
      <w:iCs/>
    </w:rPr>
  </w:style>
  <w:style w:type="table" w:customStyle="1" w:styleId="a1">
    <w:basedOn w:val="TableNormal0"/>
    <w:pPr>
      <w:spacing w:after="0" w:line="240" w:lineRule="auto"/>
    </w:pPr>
    <w:rPr>
      <w:sz w:val="17"/>
      <w:szCs w:val="17"/>
    </w:rPr>
    <w:tblPr>
      <w:tblStyleRowBandSize w:val="1"/>
      <w:tblStyleColBandSize w:val="1"/>
      <w:tblCellMar>
        <w:top w:w="57" w:type="dxa"/>
        <w:bottom w:w="28" w:type="dxa"/>
      </w:tblCellMar>
    </w:tblPr>
  </w:style>
  <w:style w:type="table" w:customStyle="1" w:styleId="a2">
    <w:basedOn w:val="TableNormal0"/>
    <w:pPr>
      <w:spacing w:after="0" w:line="240" w:lineRule="auto"/>
    </w:pPr>
    <w:rPr>
      <w:sz w:val="17"/>
      <w:szCs w:val="17"/>
    </w:rPr>
    <w:tblPr>
      <w:tblStyleRowBandSize w:val="1"/>
      <w:tblStyleColBandSize w:val="1"/>
      <w:tblCellMar>
        <w:top w:w="57" w:type="dxa"/>
        <w:bottom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daenhardt@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eA7BMoRMTLt/1BSVEcXKlksKlg==">CgMxLjAyCGguZ2pkZ3hzMgloLjMwajB6bGwyCWguMWZvYjl0ZTIJaC4zem55c2g3MgloLjJldDkycDAyCGgudHlqY3d0MgloLjNkeTZ2a204AHIhMTVsSHlRVU9hYkJXaGY4Y2RSb0dSV0M0RkhIVGRBOGRZ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3458</Characters>
  <Application>Microsoft Office Word</Application>
  <DocSecurity>0</DocSecurity>
  <Lines>28</Lines>
  <Paragraphs>7</Paragraphs>
  <ScaleCrop>false</ScaleCrop>
  <Company>KOENIG &amp; BAUER AG</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Dänhardt, Martin (BDP)</dc:creator>
  <cp:lastModifiedBy>Wicht, Natascha (ZM)</cp:lastModifiedBy>
  <cp:revision>3</cp:revision>
  <dcterms:created xsi:type="dcterms:W3CDTF">2023-07-17T08:34:00Z</dcterms:created>
  <dcterms:modified xsi:type="dcterms:W3CDTF">2023-10-10T07:44:00Z</dcterms:modified>
</cp:coreProperties>
</file>