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D" w:rsidRPr="0041506E" w:rsidRDefault="00584EAD" w:rsidP="00677B21">
      <w:pPr>
        <w:pStyle w:val="Titel"/>
        <w:spacing w:before="0" w:afterLines="200" w:after="480"/>
      </w:pPr>
      <w:r w:rsidRPr="0041506E">
        <w:t>Presseinformation</w:t>
      </w:r>
    </w:p>
    <w:p w:rsidR="00BC4F56" w:rsidRDefault="007E2163" w:rsidP="00BC4F56">
      <w:pPr>
        <w:pStyle w:val="berschrift2"/>
      </w:pPr>
      <w:r>
        <w:t>Koenig &amp; Bauer</w:t>
      </w:r>
      <w:r w:rsidR="00AD1C4B">
        <w:t xml:space="preserve"> kommt bei strategischen Projekten </w:t>
      </w:r>
      <w:r w:rsidR="0012268F">
        <w:t xml:space="preserve">für </w:t>
      </w:r>
      <w:r w:rsidR="000F62AD">
        <w:br/>
      </w:r>
      <w:r w:rsidR="0012268F">
        <w:t xml:space="preserve">nachhaltiges profitables Wachstum </w:t>
      </w:r>
      <w:r w:rsidR="00AD1C4B">
        <w:t>gut voran</w:t>
      </w:r>
    </w:p>
    <w:p w:rsidR="00BC4F56" w:rsidRPr="00BC4F56" w:rsidRDefault="00BC4F56" w:rsidP="00BC4F56">
      <w:pPr>
        <w:spacing w:after="240"/>
      </w:pPr>
    </w:p>
    <w:p w:rsidR="00BC4F56" w:rsidRPr="00BF5D04" w:rsidRDefault="00AD1C4B" w:rsidP="00BC4F56">
      <w:pPr>
        <w:pStyle w:val="Untertitel"/>
        <w:spacing w:after="240"/>
        <w:rPr>
          <w:szCs w:val="24"/>
        </w:rPr>
      </w:pPr>
      <w:r>
        <w:rPr>
          <w:szCs w:val="24"/>
        </w:rPr>
        <w:t>Konzernziele 2019 bestätigt</w:t>
      </w:r>
    </w:p>
    <w:p w:rsidR="00A44634" w:rsidRDefault="00E52883" w:rsidP="00A44634">
      <w:pPr>
        <w:pStyle w:val="Aufzhlung"/>
        <w:spacing w:after="240"/>
      </w:pPr>
      <w:r>
        <w:t>Gute Auftragslage und hohe Kapazitätsauslastung</w:t>
      </w:r>
    </w:p>
    <w:p w:rsidR="00A44634" w:rsidRDefault="007152CC" w:rsidP="00E52883">
      <w:pPr>
        <w:pStyle w:val="Aufzhlung"/>
        <w:spacing w:after="240"/>
      </w:pPr>
      <w:r>
        <w:t>Umsatz durch Auslieferungsschwerpunkte im H2 noch leicht unter Vorjahreswert</w:t>
      </w:r>
    </w:p>
    <w:p w:rsidR="00A44634" w:rsidRDefault="00E52883" w:rsidP="00A44634">
      <w:pPr>
        <w:pStyle w:val="Aufzhlung"/>
        <w:spacing w:after="240"/>
      </w:pPr>
      <w:r>
        <w:t>H</w:t>
      </w:r>
      <w:r w:rsidR="00C905B6">
        <w:t xml:space="preserve">1-Ergebnis </w:t>
      </w:r>
      <w:r>
        <w:t xml:space="preserve">durch Markteintritts- und </w:t>
      </w:r>
      <w:r w:rsidR="00C905B6">
        <w:t xml:space="preserve">Wachstumsaufwendungen </w:t>
      </w:r>
      <w:r>
        <w:t>be</w:t>
      </w:r>
      <w:r w:rsidR="00386CEE">
        <w:t>einflusst</w:t>
      </w:r>
    </w:p>
    <w:p w:rsidR="00E52883" w:rsidRDefault="00E52883" w:rsidP="00A44634">
      <w:pPr>
        <w:pStyle w:val="Aufzhlung"/>
        <w:spacing w:after="240"/>
      </w:pPr>
      <w:r>
        <w:t xml:space="preserve">Cashflow temporär durch </w:t>
      </w:r>
      <w:r w:rsidR="0075319B">
        <w:t xml:space="preserve">Umsatzwachstum im H2 und </w:t>
      </w:r>
      <w:r>
        <w:t>hohe Zukunftsinvestitionen belastet</w:t>
      </w:r>
    </w:p>
    <w:p w:rsidR="00A44634" w:rsidRDefault="00C905B6" w:rsidP="00A44634">
      <w:pPr>
        <w:pStyle w:val="Aufzhlung"/>
        <w:spacing w:after="240"/>
      </w:pPr>
      <w:r>
        <w:t>3</w:t>
      </w:r>
      <w:r w:rsidR="00B4385D">
        <w:t>3</w:t>
      </w:r>
      <w:r>
        <w:t>,</w:t>
      </w:r>
      <w:r w:rsidR="00B4385D">
        <w:t>8</w:t>
      </w:r>
      <w:r>
        <w:t xml:space="preserve"> % Eigenkapitalquote</w:t>
      </w:r>
    </w:p>
    <w:p w:rsidR="00584EAD" w:rsidRPr="00A44634" w:rsidRDefault="00975E61" w:rsidP="00A44634">
      <w:pPr>
        <w:pStyle w:val="Aufzhlung"/>
        <w:spacing w:after="240"/>
      </w:pPr>
      <w:r>
        <w:t xml:space="preserve">Konzernziele 2019: </w:t>
      </w:r>
      <w:r w:rsidR="00CC57C9">
        <w:t xml:space="preserve">organischer </w:t>
      </w:r>
      <w:r>
        <w:t xml:space="preserve">Umsatzanstieg von </w:t>
      </w:r>
      <w:r w:rsidR="00C905B6">
        <w:t>rund</w:t>
      </w:r>
      <w:r>
        <w:t xml:space="preserve"> 4 % und EBIT-Marge von rund 6 %</w:t>
      </w:r>
    </w:p>
    <w:p w:rsidR="004027A4" w:rsidRDefault="00A44634" w:rsidP="009D06B5">
      <w:pPr>
        <w:spacing w:after="240"/>
        <w:ind w:right="-2"/>
      </w:pPr>
      <w:r>
        <w:t>Würzburg</w:t>
      </w:r>
      <w:r w:rsidR="00584EAD" w:rsidRPr="00A44634">
        <w:t xml:space="preserve">, </w:t>
      </w:r>
      <w:r w:rsidR="00753E7D">
        <w:t>1</w:t>
      </w:r>
      <w:r>
        <w:t xml:space="preserve">. </w:t>
      </w:r>
      <w:r w:rsidR="00753E7D">
        <w:t>August</w:t>
      </w:r>
      <w:r>
        <w:t xml:space="preserve"> 2019</w:t>
      </w:r>
      <w:r w:rsidR="00584EAD" w:rsidRPr="00A44634">
        <w:br/>
      </w:r>
      <w:r w:rsidR="00F9631F">
        <w:rPr>
          <w:bCs/>
        </w:rPr>
        <w:t>Im ersten Halbjahr</w:t>
      </w:r>
      <w:r w:rsidR="00CE56BD">
        <w:rPr>
          <w:bCs/>
        </w:rPr>
        <w:t xml:space="preserve"> 2019 ist die Koenig &amp; Bauer-Gruppe </w:t>
      </w:r>
      <w:r w:rsidR="00F9631F" w:rsidRPr="006507FB">
        <w:t xml:space="preserve">bei </w:t>
      </w:r>
      <w:r w:rsidR="00F9631F">
        <w:t>ihren</w:t>
      </w:r>
      <w:r w:rsidR="00F9631F" w:rsidRPr="006507FB">
        <w:t xml:space="preserve"> strategischen Projekten für nachhaltiges profitables Wachstum </w:t>
      </w:r>
      <w:r w:rsidR="00F9631F">
        <w:t>gut</w:t>
      </w:r>
      <w:r w:rsidR="00F9631F" w:rsidRPr="006507FB">
        <w:t xml:space="preserve"> vorangekommen</w:t>
      </w:r>
      <w:r w:rsidR="00CE56BD">
        <w:rPr>
          <w:bCs/>
        </w:rPr>
        <w:t xml:space="preserve">. </w:t>
      </w:r>
      <w:r w:rsidR="004027A4" w:rsidRPr="00A44634">
        <w:t>CEO Claus Bolza-Schünemann</w:t>
      </w:r>
      <w:r w:rsidR="004027A4">
        <w:t xml:space="preserve"> berichtet vom gelungenen Start des Gemeinschaftsunternehmens mit Durst und den guten Perspektiven: </w:t>
      </w:r>
      <w:r w:rsidR="004027A4" w:rsidRPr="00A44634">
        <w:t>„</w:t>
      </w:r>
      <w:r w:rsidR="004027A4" w:rsidRPr="006507FB">
        <w:t xml:space="preserve">Nach der kartellrechtlichen Freigabe haben wir Anfang Mai 2019 das 50/50-Joint Venture mit dem Inkjetpionier offiziell gegründet und zum 1. August 2019 einen erfahrenen Experten zum Geschäftsführer </w:t>
      </w:r>
      <w:r w:rsidR="00CD4F3C">
        <w:t xml:space="preserve">von Koenig &amp; Bauer Durst </w:t>
      </w:r>
      <w:r w:rsidR="004027A4" w:rsidRPr="006507FB">
        <w:t>bestellt. In der Faltschachtel- und Wellpappenindustrie sehen wir gute Chancen für digitale Produktionslinien</w:t>
      </w:r>
      <w:r w:rsidR="004027A4">
        <w:t xml:space="preserve"> bei </w:t>
      </w:r>
      <w:r w:rsidR="004027A4" w:rsidRPr="006507FB">
        <w:t>kleinere</w:t>
      </w:r>
      <w:r w:rsidR="004027A4">
        <w:t>n</w:t>
      </w:r>
      <w:r w:rsidR="004027A4" w:rsidRPr="006507FB">
        <w:t>, individualisierte</w:t>
      </w:r>
      <w:r w:rsidR="004027A4">
        <w:t>n</w:t>
      </w:r>
      <w:r w:rsidR="004027A4" w:rsidRPr="006507FB">
        <w:t xml:space="preserve"> Auflagen</w:t>
      </w:r>
      <w:r w:rsidR="004027A4">
        <w:t>. Hier</w:t>
      </w:r>
      <w:r w:rsidR="004027A4" w:rsidRPr="006507FB">
        <w:t xml:space="preserve"> verlangt die Branche nach wirtschaftlichen und flexiblen Lösungen. Neben der VariJET 106 für den digitalen Faltschachteldruck gehören die Koenig &amp; Bauer CorruJET 170 und die Durst SPC 130 für den digitalen Direktdruck auf Wellpappe inklusive des Tintengeschäfts und aller Serviceleistungen zum Portfolio </w:t>
      </w:r>
      <w:r w:rsidR="00CD4F3C">
        <w:t>des Joint Ventures</w:t>
      </w:r>
      <w:r w:rsidR="004027A4">
        <w:t>.“</w:t>
      </w:r>
    </w:p>
    <w:p w:rsidR="00CE56BD" w:rsidRDefault="00F9631F" w:rsidP="00CE1F7E">
      <w:pPr>
        <w:spacing w:after="240"/>
        <w:ind w:right="139"/>
        <w:rPr>
          <w:bCs/>
        </w:rPr>
      </w:pPr>
      <w:r>
        <w:rPr>
          <w:bCs/>
        </w:rPr>
        <w:t xml:space="preserve">CFO Mathias Dähn erläutert </w:t>
      </w:r>
      <w:r w:rsidR="004027A4">
        <w:rPr>
          <w:bCs/>
        </w:rPr>
        <w:t>weitere</w:t>
      </w:r>
      <w:r w:rsidR="00E92EF2">
        <w:rPr>
          <w:bCs/>
        </w:rPr>
        <w:t xml:space="preserve"> Beispiele</w:t>
      </w:r>
      <w:r w:rsidR="00E52883">
        <w:rPr>
          <w:bCs/>
        </w:rPr>
        <w:t xml:space="preserve"> der </w:t>
      </w:r>
      <w:r>
        <w:rPr>
          <w:bCs/>
        </w:rPr>
        <w:t>erreichten Fortschritte: „</w:t>
      </w:r>
      <w:r w:rsidRPr="006507FB">
        <w:t xml:space="preserve">Für den digitalen Dekordruck haben wir bereits die fünfte RotaJET-Anlage verkauft. Zwei Bestellungen dieser ausgereiften und qualitativ hochwertigen Digitaldrucklösung haben wir von Holzwerkstoff-Herstellern </w:t>
      </w:r>
      <w:r w:rsidRPr="006507FB">
        <w:rPr>
          <w:bCs/>
        </w:rPr>
        <w:t xml:space="preserve">erhalten, die die bislang fremd bezogenen Dekore aufgrund des sich weiter verstärkenden Trends </w:t>
      </w:r>
      <w:r w:rsidRPr="006507FB">
        <w:t xml:space="preserve">zur Individualisierung mit kleineren Auftragsgrößen </w:t>
      </w:r>
      <w:r w:rsidRPr="006507FB">
        <w:rPr>
          <w:bCs/>
        </w:rPr>
        <w:t>selbst drucken wollen. Durch diesen sich stärker abzeichnenden Strukturwandel im Dekordruck sehen wir für unsere RotaJET-Digitaldruckplattform ein großes Umsatz- und Ertragspotenzial. Dies gilt analog für den digitalen Getränkekartondruck nach dem Schlüsselauftrag von Tetra Pak.</w:t>
      </w:r>
      <w:r>
        <w:rPr>
          <w:bCs/>
        </w:rPr>
        <w:t xml:space="preserve"> </w:t>
      </w:r>
      <w:r w:rsidRPr="006507FB">
        <w:t xml:space="preserve">Für den großen und signifikant wachsenden Markt des analogen Direktdrucks auf Wellpappe haben wir die Bogen-Flexomaschinen CorruCUT und CorruFLEX mit einigen Alleinstellungsmerkmalen entwickelt. Nach einer Testphase des Prototyps in unserem Werk hat der renommierte Pilotkunde </w:t>
      </w:r>
      <w:r>
        <w:t xml:space="preserve">und Entwicklungspartner </w:t>
      </w:r>
      <w:r w:rsidRPr="006507FB">
        <w:t xml:space="preserve">Klingele die bestellte CorruCUT inzwischen abgenommen. Aufgrund der Druck- und Stanzqualität, der kurzen Rüstzeiten und des Bedienkomforts ist die Resonanz des Kunden und der weltweiten Wellpappenindustrie auf unsere Innovation sehr positiv. Ebenfalls erfreulich ist das Kunden-Feedback vom gerade laufenden Feldtest der CS MetalCan, die wir für den 2-teiligen Getränkedosendruck mit </w:t>
      </w:r>
      <w:r w:rsidR="00324066">
        <w:t>einigen</w:t>
      </w:r>
      <w:r w:rsidRPr="006507FB">
        <w:t xml:space="preserve"> Alleinstellungsmerkmalen entwickelt haben</w:t>
      </w:r>
      <w:r w:rsidR="00B4385D">
        <w:t>.</w:t>
      </w:r>
      <w:r>
        <w:rPr>
          <w:bCs/>
        </w:rPr>
        <w:t>“</w:t>
      </w:r>
    </w:p>
    <w:p w:rsidR="00F9631F" w:rsidRDefault="00F9631F" w:rsidP="00CE1F7E">
      <w:pPr>
        <w:spacing w:after="240"/>
        <w:ind w:right="139"/>
      </w:pPr>
    </w:p>
    <w:p w:rsidR="00AD1C4B" w:rsidRPr="00E52883" w:rsidRDefault="00E52883" w:rsidP="00AD1C4B">
      <w:pPr>
        <w:pStyle w:val="berschrift3"/>
        <w:rPr>
          <w:lang w:val="en-US"/>
        </w:rPr>
      </w:pPr>
      <w:r w:rsidRPr="00E52883">
        <w:rPr>
          <w:lang w:val="en-US"/>
        </w:rPr>
        <w:lastRenderedPageBreak/>
        <w:t>Book-to-Bill-Ratio von 1,13</w:t>
      </w:r>
    </w:p>
    <w:p w:rsidR="00AD1C4B" w:rsidRPr="003C27FE" w:rsidRDefault="00AD1C4B" w:rsidP="00E52883">
      <w:pPr>
        <w:spacing w:after="240"/>
        <w:ind w:right="139"/>
        <w:rPr>
          <w:szCs w:val="20"/>
        </w:rPr>
      </w:pPr>
      <w:r w:rsidRPr="006507FB">
        <w:t xml:space="preserve">Nach 276,4 Mio. € im ersten Quartal hat sich im Koenig &amp; Bauer-Konzern die positive Auftragsentwicklung mit Neubestellungen von 296,9 Mio. € im zweiten Quartal fortgesetzt. Mit 573,3 Mio. € konnte im ersten Halbjahr 2019 ein guter </w:t>
      </w:r>
      <w:r w:rsidRPr="00AD1C4B">
        <w:t>Auftragseingang</w:t>
      </w:r>
      <w:r w:rsidRPr="006507FB">
        <w:t xml:space="preserve"> erreicht werden. Der Vorjahreswert von 705,3 Mio. € war durch einen Großauftrag im Wertpapierdruck begünstigt. Durch die Auslieferungsschwerpunkte in der zweiten Jahreshälfte lag der </w:t>
      </w:r>
      <w:r w:rsidRPr="00AD1C4B">
        <w:t>Umsatz</w:t>
      </w:r>
      <w:r w:rsidRPr="006507FB">
        <w:t xml:space="preserve"> im Konzern mit 506,0 Mio. € noch leicht unter dem Vorjahreswert von 514,4 Mio. €.</w:t>
      </w:r>
      <w:r>
        <w:t xml:space="preserve"> </w:t>
      </w:r>
      <w:r w:rsidRPr="006507FB">
        <w:t xml:space="preserve">Mit 678,2 Mio. € war der </w:t>
      </w:r>
      <w:r w:rsidRPr="00AD1C4B">
        <w:t>Auftragsbestand</w:t>
      </w:r>
      <w:r w:rsidRPr="006507FB">
        <w:t xml:space="preserve"> zum 30. Juni um 11,0 % höher als zum Jahresbeginn (610,9 Mio. €), jedoch durch den im zweiten Quartal 2018 gebuchten Wertpapier-Großauftrag niedriger als zum Halbjahresende 2018 (805,8 Mio. €)</w:t>
      </w:r>
      <w:r>
        <w:t>.</w:t>
      </w:r>
      <w:r w:rsidR="00E52883">
        <w:rPr>
          <w:szCs w:val="20"/>
        </w:rPr>
        <w:t xml:space="preserve"> </w:t>
      </w:r>
      <w:r w:rsidR="00753E7D" w:rsidRPr="006507FB">
        <w:t>Die Aufwendungen für die Wachstumsoffensive 2023, die wir k</w:t>
      </w:r>
      <w:r w:rsidR="00753E7D" w:rsidRPr="006507FB">
        <w:rPr>
          <w:color w:val="000000"/>
        </w:rPr>
        <w:t xml:space="preserve">umuliert für 2019 bis 2021 </w:t>
      </w:r>
      <w:r w:rsidR="00753E7D" w:rsidRPr="006507FB">
        <w:t>auf rund 50 Mio. € einschätzen bei einer stärkeren Belastung des Startjahres, und das auslieferungsbedingt im ersten Halbjahr niedrige Umsatzniveau haben die Ertragsentwicklung maßgeblich beeinflusst. Entsprechend lag das EBIT mit 0,6 Mio. € unter dem Vorjahr (10,6 Mio. €)</w:t>
      </w:r>
      <w:r w:rsidR="00753E7D">
        <w:t>.</w:t>
      </w:r>
      <w:r w:rsidR="00753E7D" w:rsidRPr="00753E7D">
        <w:rPr>
          <w:bCs/>
        </w:rPr>
        <w:t xml:space="preserve"> </w:t>
      </w:r>
      <w:r w:rsidR="00753E7D">
        <w:rPr>
          <w:bCs/>
        </w:rPr>
        <w:t xml:space="preserve">Mit </w:t>
      </w:r>
      <w:r w:rsidR="00753E7D" w:rsidRPr="006507FB">
        <w:rPr>
          <w:bCs/>
        </w:rPr>
        <w:t xml:space="preserve">–2,4 Mio. € </w:t>
      </w:r>
      <w:r w:rsidR="00DC532B">
        <w:rPr>
          <w:bCs/>
        </w:rPr>
        <w:t xml:space="preserve">entspricht das </w:t>
      </w:r>
      <w:r w:rsidR="00753E7D" w:rsidRPr="00DC532B">
        <w:rPr>
          <w:bCs/>
        </w:rPr>
        <w:t>Konzernergebnis</w:t>
      </w:r>
      <w:r w:rsidR="00753E7D" w:rsidRPr="006507FB">
        <w:rPr>
          <w:bCs/>
        </w:rPr>
        <w:t xml:space="preserve"> zum 30. Juni einem anteiligen</w:t>
      </w:r>
      <w:r w:rsidR="00DC532B">
        <w:rPr>
          <w:bCs/>
        </w:rPr>
        <w:t xml:space="preserve"> </w:t>
      </w:r>
      <w:r w:rsidR="00753E7D" w:rsidRPr="00DC532B">
        <w:rPr>
          <w:bCs/>
          <w:szCs w:val="20"/>
        </w:rPr>
        <w:t>Ergebnis je Aktie</w:t>
      </w:r>
      <w:r w:rsidR="00DC532B">
        <w:rPr>
          <w:bCs/>
        </w:rPr>
        <w:t xml:space="preserve"> von –0,15 €.</w:t>
      </w:r>
    </w:p>
    <w:p w:rsidR="00A44634" w:rsidRPr="00A44634" w:rsidRDefault="00A670BE" w:rsidP="00A44634">
      <w:pPr>
        <w:pStyle w:val="berschrift3"/>
      </w:pPr>
      <w:r>
        <w:t>4,8 % höherer</w:t>
      </w:r>
      <w:r w:rsidR="00CE56BD">
        <w:t xml:space="preserve"> Auftragseingang bei Sheetfed</w:t>
      </w:r>
    </w:p>
    <w:p w:rsidR="00A44634" w:rsidRPr="003C27FE" w:rsidRDefault="003C27FE" w:rsidP="00F53973">
      <w:pPr>
        <w:spacing w:after="240"/>
        <w:ind w:right="281"/>
        <w:rPr>
          <w:szCs w:val="20"/>
        </w:rPr>
      </w:pPr>
      <w:r w:rsidRPr="003C27FE">
        <w:rPr>
          <w:rFonts w:ascii="Arial" w:hAnsi="Arial" w:cs="Arial"/>
          <w:szCs w:val="20"/>
        </w:rPr>
        <w:t>Bei Sheetfed hat die erfolgreiche Messe Print China Mitte April zum Anstieg des Auftragseingangs um 4,8 % auf 329,0 Mio. € (2018: 313,8 Mio. €) beigetragen. Auslieferungsbedingt unterschritt der Umsatz mit 257,3 Mio. € den Vorjahreswert von 270,8 Mio. €. Der hohe Auftragsbestand von 261,6 Mio. € (2018: 274,7 Mio. €) sorgt weiterhin für eine volle Kapazitätsauslastung. Durch den niedrigeren Umsatz, den Produktmix und die Messekosten für die Print China lag das EBIT mit –1,2 Mio. € unter dem Vorjahr (8,1 Mio. €)</w:t>
      </w:r>
    </w:p>
    <w:p w:rsidR="00A44634" w:rsidRPr="004B5DBB" w:rsidRDefault="003C27FE" w:rsidP="00A44634">
      <w:pPr>
        <w:pStyle w:val="berschrift3"/>
      </w:pPr>
      <w:r>
        <w:t>Auftrags- und Umsatzplus bei Digital &amp; Web</w:t>
      </w:r>
    </w:p>
    <w:p w:rsidR="00A44634" w:rsidRPr="003C27FE" w:rsidRDefault="003C27FE" w:rsidP="00A44634">
      <w:pPr>
        <w:spacing w:after="240"/>
        <w:rPr>
          <w:szCs w:val="20"/>
        </w:rPr>
      </w:pPr>
      <w:r w:rsidRPr="003C27FE">
        <w:rPr>
          <w:rFonts w:ascii="Arial" w:hAnsi="Arial" w:cs="Arial"/>
          <w:szCs w:val="20"/>
        </w:rPr>
        <w:t>Bei Digital &amp; Web ist der Auftragseingang von 82,0 Mio. € im Vorjahr auf 89,9 Mio. € gestiegen. Bestellzuwächse im flexiblen Verpackungsdruck und mehr Maschinenverkäufe für den Zeitungs- und digitalen Dekordruck haben das rückläufige Servicegeschäft bei Rollenoffsetmaschinen für den Zeitungs- und Akzidenzdruck überkompensiert. Während sich der Umsatz von 58,1 Mio. € auf 64,5 Mio. € erhöhte, legte der Auftragsbestand von 86,4 Mio. € auf 111,2 Mio. € deutlich zu. Das durch Markteintritts- und Wachstumsaufwendungen belastete EBIT betrug –11,1 Mio. € gegenüber –9,9 Mio. € im Vorjahr</w:t>
      </w:r>
      <w:r w:rsidR="00CE56BD" w:rsidRPr="003C27FE">
        <w:rPr>
          <w:rFonts w:ascii="Arial" w:hAnsi="Arial" w:cs="Arial"/>
          <w:szCs w:val="20"/>
        </w:rPr>
        <w:t>.</w:t>
      </w:r>
    </w:p>
    <w:p w:rsidR="00A44634" w:rsidRPr="004B5DBB" w:rsidRDefault="003C27FE" w:rsidP="00A44634">
      <w:pPr>
        <w:pStyle w:val="berschrift3"/>
      </w:pPr>
      <w:r>
        <w:t>3,7 % mehr Umsatz</w:t>
      </w:r>
      <w:r w:rsidR="00A44634" w:rsidRPr="004B5DBB">
        <w:t xml:space="preserve"> bei Special</w:t>
      </w:r>
    </w:p>
    <w:p w:rsidR="00A44634" w:rsidRPr="003C27FE" w:rsidRDefault="003C27FE" w:rsidP="00F53973">
      <w:pPr>
        <w:spacing w:after="240"/>
        <w:ind w:right="139"/>
        <w:rPr>
          <w:szCs w:val="20"/>
        </w:rPr>
      </w:pPr>
      <w:r w:rsidRPr="003C27FE">
        <w:rPr>
          <w:rFonts w:ascii="Arial" w:hAnsi="Arial" w:cs="Arial"/>
          <w:szCs w:val="20"/>
        </w:rPr>
        <w:t>Bei Special lag der Auftragseingang mit 174,5 Mio. € unter dem durch einen Großauftrag beeinflussten Vorjahreswert von 330,2 Mio. €. Großaufträge in dieser Dimension sind auch im Wertpapierdruck nicht üblich. Der Umsatz legte von 196,3 Mio. € auf 203,6 Mio. € zu. Nach 14,7 Mio. € im Vorjahr wird für das erste Halbjahr 2019 ein EBIT von 6,4 Mio. € ausgewiesen. Mit 315,5 Mio. € liegen Auftragsbestand und Kapazitätsauslastung auf einem hohen Niveau (2018: 464,8 Mio. €)</w:t>
      </w:r>
      <w:r w:rsidR="00CE56BD" w:rsidRPr="003C27FE">
        <w:rPr>
          <w:rFonts w:ascii="Arial" w:hAnsi="Arial" w:cs="Arial"/>
          <w:szCs w:val="20"/>
        </w:rPr>
        <w:t>.</w:t>
      </w:r>
    </w:p>
    <w:p w:rsidR="00A44634" w:rsidRPr="004B5DBB" w:rsidRDefault="00A5372F" w:rsidP="00A44634">
      <w:pPr>
        <w:pStyle w:val="berschrift3"/>
      </w:pPr>
      <w:r>
        <w:t>Eigenkapitalquote von 33,8 %</w:t>
      </w:r>
    </w:p>
    <w:p w:rsidR="00A44634" w:rsidRPr="00A44634" w:rsidRDefault="00F53973" w:rsidP="00A44634">
      <w:pPr>
        <w:spacing w:after="240"/>
      </w:pPr>
      <w:r>
        <w:t xml:space="preserve">Trotz </w:t>
      </w:r>
      <w:r w:rsidR="00E855BB">
        <w:t>niedrigerer</w:t>
      </w:r>
      <w:r>
        <w:t xml:space="preserve"> Forderungen </w:t>
      </w:r>
      <w:r w:rsidR="00E855BB">
        <w:t xml:space="preserve">aus Lieferungen und Leistungen sowie </w:t>
      </w:r>
      <w:r>
        <w:t xml:space="preserve">gestiegener Kundenanzahlungen haben höhere Vorräte für das Umsatzwachstum in den Folgequartalen sowie hohe Investitionen für Bau- und IT-Projekte den Cashflow </w:t>
      </w:r>
      <w:r w:rsidR="00E855BB">
        <w:t xml:space="preserve">maßgeblich </w:t>
      </w:r>
      <w:r>
        <w:t xml:space="preserve">belastet. </w:t>
      </w:r>
      <w:r w:rsidR="00B4385D">
        <w:t>Mit einer</w:t>
      </w:r>
      <w:r w:rsidR="00B4385D" w:rsidRPr="00A44634">
        <w:t xml:space="preserve"> syndizierten Kreditlinie mit langfristiger Laufzeit </w:t>
      </w:r>
      <w:r w:rsidR="00A44634" w:rsidRPr="00A44634">
        <w:t>verfüg</w:t>
      </w:r>
      <w:r>
        <w:t>t Koenig &amp; Bauer</w:t>
      </w:r>
      <w:r w:rsidR="00D80630">
        <w:t xml:space="preserve"> </w:t>
      </w:r>
      <w:r w:rsidR="00A44634" w:rsidRPr="00A44634">
        <w:t xml:space="preserve">über eine gute und stabile Finanzbasis. </w:t>
      </w:r>
    </w:p>
    <w:p w:rsidR="00A44634" w:rsidRPr="00A44634" w:rsidRDefault="00A44634" w:rsidP="00A44634">
      <w:pPr>
        <w:pStyle w:val="berschrift3"/>
      </w:pPr>
      <w:r w:rsidRPr="00A44634">
        <w:t>Konzernziele 2019</w:t>
      </w:r>
    </w:p>
    <w:p w:rsidR="00A44634" w:rsidRPr="00A44634" w:rsidRDefault="003C27FE" w:rsidP="004B5DBB">
      <w:pPr>
        <w:spacing w:after="240"/>
        <w:ind w:right="-2"/>
      </w:pPr>
      <w:r w:rsidRPr="00A44634">
        <w:t xml:space="preserve">CEO Claus Bolza-Schünemann: </w:t>
      </w:r>
      <w:r w:rsidR="00A44634" w:rsidRPr="00A44634">
        <w:t>„</w:t>
      </w:r>
      <w:r w:rsidRPr="006507FB">
        <w:t>Mit dem hohen Auftragsbestand von 678,2 Mio. € zum 30. Juni 2019 haben wir eine gute Visibilität für das zweite Halbjahr 2019. Auf Basis der guten Auftragslage mit hoher Kapazitätsauslastung und der weiteren Fortschritte bei unseren Konzernprojekten zur Ergeb</w:t>
      </w:r>
      <w:r w:rsidRPr="006507FB">
        <w:lastRenderedPageBreak/>
        <w:t xml:space="preserve">nissteigerung sind wir bei </w:t>
      </w:r>
      <w:r>
        <w:t>planmäßiger</w:t>
      </w:r>
      <w:r w:rsidRPr="006507FB">
        <w:t xml:space="preserve"> Auftragsabwicklung im Wertpapierdruck </w:t>
      </w:r>
      <w:r>
        <w:t xml:space="preserve">und mit den erwarteten Aufträgen im Blechdruck </w:t>
      </w:r>
      <w:r w:rsidRPr="006507FB">
        <w:t xml:space="preserve">zuversichtlich, </w:t>
      </w:r>
      <w:r w:rsidRPr="006507FB">
        <w:rPr>
          <w:color w:val="000000"/>
        </w:rPr>
        <w:t xml:space="preserve">2019 einen organischen Umsatzanstieg im Konzern von rund 4 % und </w:t>
      </w:r>
      <w:r w:rsidRPr="006507FB">
        <w:t xml:space="preserve">eine EBIT-Marge von rund 6 % </w:t>
      </w:r>
      <w:r w:rsidRPr="006507FB">
        <w:rPr>
          <w:color w:val="000000"/>
        </w:rPr>
        <w:t xml:space="preserve">zu erreichen. </w:t>
      </w:r>
      <w:r w:rsidRPr="006507FB">
        <w:t>Die aus der Wachstumsoffensive 2023 resultierende Margenbelastung ist in unserem Ertragsziel 2019 bereits enthalten</w:t>
      </w:r>
      <w:r w:rsidR="00CE56BD">
        <w:t>.</w:t>
      </w:r>
      <w:r w:rsidR="00A44634" w:rsidRPr="00A44634">
        <w:t>“</w:t>
      </w:r>
    </w:p>
    <w:p w:rsidR="00A44634" w:rsidRPr="004B5DBB" w:rsidRDefault="00A44634" w:rsidP="00A44634">
      <w:pPr>
        <w:pStyle w:val="berschrift3"/>
      </w:pPr>
      <w:r w:rsidRPr="004B5DBB">
        <w:t>Mittelfristziele bis 2023</w:t>
      </w:r>
    </w:p>
    <w:p w:rsidR="00584EAD" w:rsidRDefault="003C27FE" w:rsidP="003C27FE">
      <w:pPr>
        <w:spacing w:after="240"/>
        <w:ind w:right="139"/>
      </w:pPr>
      <w:r w:rsidRPr="00A44634">
        <w:t xml:space="preserve">CFO Mathias Dähn: </w:t>
      </w:r>
      <w:r w:rsidR="00A44634" w:rsidRPr="00A44634">
        <w:t>„</w:t>
      </w:r>
      <w:r w:rsidRPr="006507FB">
        <w:t xml:space="preserve">Mit unserer Wachstumsoffensive 2023 wollen wir die sich aktuell bietenden Marktchancen im Wellpappen-, Kartonagen-, flexiblen Verpackungs-, 2-Teil-Dosen-, Kennzeichnungs-, Glasdirekt- und Dekordruck sowie im Postpress-Bereich offensiv für ein nachhaltiges profitables Wachstum nutzen. Der Einfluss des volatilen Wertpapiergeschäfts wird sich mit dem höheren Verpackungsanteil am Konzernumsatz reduzieren. Bei den Rollenoffsetmaschinen für den Zeitungs- und Akzidenzdruck erwarten wir durch weiter zunehmende Maschinenstilllegungen und Druckereischließungen ein weiter rückläufiges Servicegeschäft. Mit allen unseren Initiativen und Projekten streben wir bis 2023 eine Steigerung des Konzernumsatzes auf rund 1,5 Mrd. € mit einer EBIT-Marge zwischen 7 % und 10 % an. </w:t>
      </w:r>
      <w:r w:rsidRPr="006507FB">
        <w:rPr>
          <w:color w:val="000000"/>
        </w:rPr>
        <w:t xml:space="preserve">Zur Umsatz- und Ergebnissteigerung sollen alle drei Segmente beitragen. </w:t>
      </w:r>
      <w:r w:rsidRPr="006507FB">
        <w:rPr>
          <w:bCs/>
        </w:rPr>
        <w:t xml:space="preserve">Neben einer </w:t>
      </w:r>
      <w:r w:rsidRPr="006507FB">
        <w:rPr>
          <w:color w:val="000000"/>
        </w:rPr>
        <w:t>Dividendenquote von 15 % bis 35 % des Konzernergebnisses sind eine Eigenkapitalquote von über 45 %, ein Net Working Capital-Zielkorridor zwischen 20 % und 25 % des Umsatzes und ein Service-Umsatzanteil von 30 % weitere Zielgrößen.</w:t>
      </w:r>
      <w:r w:rsidR="00A44634" w:rsidRPr="00A44634">
        <w:t>“</w:t>
      </w:r>
    </w:p>
    <w:p w:rsidR="00C1069D" w:rsidRDefault="00C1069D" w:rsidP="00A44634">
      <w:pPr>
        <w:spacing w:after="240"/>
      </w:pPr>
    </w:p>
    <w:p w:rsidR="00BC4F56" w:rsidRPr="00A44634" w:rsidRDefault="00A44634" w:rsidP="00BC4F56">
      <w:pPr>
        <w:pStyle w:val="berschrift4"/>
        <w:rPr>
          <w:lang w:val="de-DE"/>
        </w:rPr>
      </w:pPr>
      <w:r w:rsidRPr="00A44634">
        <w:rPr>
          <w:lang w:val="de-DE"/>
        </w:rPr>
        <w:t>Foto 1:</w:t>
      </w:r>
    </w:p>
    <w:p w:rsidR="006B2D44" w:rsidRPr="00A44634" w:rsidRDefault="00386CEE" w:rsidP="00BC4F56">
      <w:pPr>
        <w:spacing w:after="240"/>
      </w:pPr>
      <w:r w:rsidRPr="006507FB">
        <w:t xml:space="preserve">Nach einer Testphase des Prototyps </w:t>
      </w:r>
      <w:r>
        <w:t>im Koenig &amp; Bauer-</w:t>
      </w:r>
      <w:r w:rsidRPr="006507FB">
        <w:t xml:space="preserve">Werk hat der renommierte Pilotkunde </w:t>
      </w:r>
      <w:r>
        <w:t xml:space="preserve">und Entwicklungspartner </w:t>
      </w:r>
      <w:r w:rsidRPr="006507FB">
        <w:t>Klingele die bestellte CorruCUT inzwischen abgenommen</w:t>
      </w:r>
    </w:p>
    <w:p w:rsidR="00A44634" w:rsidRPr="00A44634" w:rsidRDefault="00A44634" w:rsidP="00A44634">
      <w:pPr>
        <w:pStyle w:val="berschrift4"/>
        <w:rPr>
          <w:lang w:val="de-DE"/>
        </w:rPr>
      </w:pPr>
      <w:r w:rsidRPr="00A44634">
        <w:rPr>
          <w:lang w:val="de-DE"/>
        </w:rPr>
        <w:t>Foto</w:t>
      </w:r>
      <w:r>
        <w:rPr>
          <w:lang w:val="de-DE"/>
        </w:rPr>
        <w:t xml:space="preserve"> 2:</w:t>
      </w:r>
    </w:p>
    <w:p w:rsidR="00A44634" w:rsidRDefault="0012268F" w:rsidP="00A44634">
      <w:pPr>
        <w:spacing w:after="240"/>
      </w:pPr>
      <w:r>
        <w:t>Mit datenbasierten Services und anderen Innovationen hat sich Koenig &amp; Bauer</w:t>
      </w:r>
      <w:r w:rsidR="00386CEE" w:rsidRPr="00135CD2">
        <w:t xml:space="preserve"> zu einem der branchenübergreifenden Vordenker</w:t>
      </w:r>
      <w:bookmarkStart w:id="0" w:name="_GoBack"/>
      <w:bookmarkEnd w:id="0"/>
      <w:r w:rsidR="00386CEE" w:rsidRPr="00135CD2">
        <w:t xml:space="preserve"> bei der Digitalisierung von Geschäftsprozessen entwi</w:t>
      </w:r>
      <w:r>
        <w:t>ckelt</w:t>
      </w:r>
    </w:p>
    <w:p w:rsidR="008C6097" w:rsidRDefault="008C6097" w:rsidP="00A44634">
      <w:pPr>
        <w:spacing w:after="240"/>
      </w:pPr>
    </w:p>
    <w:p w:rsidR="00584EAD" w:rsidRDefault="00584EAD" w:rsidP="00584EAD">
      <w:pPr>
        <w:spacing w:after="240"/>
      </w:pPr>
      <w:r w:rsidRPr="00BC4F56">
        <w:rPr>
          <w:b/>
        </w:rPr>
        <w:t>Ansprechpartner für die Presse</w:t>
      </w:r>
      <w:r>
        <w:br/>
      </w:r>
      <w:r w:rsidR="00A44634">
        <w:t>Koenig &amp; Bauer AG</w:t>
      </w:r>
      <w:r>
        <w:br/>
      </w:r>
      <w:r w:rsidR="00A44634">
        <w:t>Dr. Bernd Heusinger</w:t>
      </w:r>
      <w:r w:rsidR="00A44634">
        <w:br/>
        <w:t>T +49 931 909-4835</w:t>
      </w:r>
      <w:r>
        <w:br/>
        <w:t xml:space="preserve">M </w:t>
      </w:r>
      <w:hyperlink r:id="rId8" w:history="1">
        <w:r w:rsidR="00A44634" w:rsidRPr="00C5391E">
          <w:rPr>
            <w:rStyle w:val="Hyperlink"/>
          </w:rPr>
          <w:t>bernd.heusinger@koenig-bauer.com</w:t>
        </w:r>
      </w:hyperlink>
    </w:p>
    <w:p w:rsidR="006B2D44" w:rsidRDefault="006B2D44" w:rsidP="00584EAD">
      <w:pPr>
        <w:spacing w:after="240"/>
      </w:pPr>
    </w:p>
    <w:p w:rsidR="00A44634" w:rsidRPr="004B5DBB" w:rsidRDefault="00A44634" w:rsidP="00A44634">
      <w:pPr>
        <w:pStyle w:val="berschrift4"/>
        <w:rPr>
          <w:lang w:val="de-DE"/>
        </w:rPr>
      </w:pPr>
      <w:r w:rsidRPr="004B5DBB">
        <w:rPr>
          <w:lang w:val="de-DE"/>
        </w:rPr>
        <w:t>Über Koenig &amp; Bauer</w:t>
      </w:r>
    </w:p>
    <w:p w:rsidR="00A44634" w:rsidRPr="00A44634" w:rsidRDefault="00A44634" w:rsidP="00D05BF0">
      <w:pPr>
        <w:spacing w:after="240"/>
        <w:ind w:right="139"/>
      </w:pPr>
      <w:r w:rsidRPr="00A44634">
        <w:t>Mit über 1,2 Mrd. € Jahresumsatz und 5.700 Beschäftigten ist di</w:t>
      </w:r>
      <w:r w:rsidR="004B5DBB">
        <w:t>e Koenig &amp; Bauer-Gruppe ein kun</w:t>
      </w:r>
      <w:r w:rsidRPr="00A44634">
        <w:t>denorientierter Partner der internationalen Druckindustrie. Im Banknotendruck und in wachsenden Märkten des Verpackungsdrucks ist der Lösungsanbieter weltweiter Markt- und Technologieführer. Innovation und technischer Fortschritt prägen von Beginn an die ü</w:t>
      </w:r>
      <w:r w:rsidR="004B5DBB">
        <w:t>ber 200-jährige Unternehmensent</w:t>
      </w:r>
      <w:r w:rsidRPr="00A44634">
        <w:t>wicklung. Die konsequent auf die Kundenanforderungen zugeschnittenen Hightech-Maschinen und -Anlagen ermöglichen hocheffiziente Druck-, Veredelungs- und Weiterverarbeitungsprozesse. Die Servicedienstleistungen umfassen eine breite Palette an kundenorientierten Angeboten bis hin zur vernetzten Druckerei. Mit einer starken Bilanz und Finanzkraft ist Koenig &amp;</w:t>
      </w:r>
      <w:r w:rsidR="00D05BF0">
        <w:t xml:space="preserve"> Bauer auf profitablem und nach</w:t>
      </w:r>
      <w:r w:rsidRPr="00A44634">
        <w:t>haltigem Wachstumskurs.</w:t>
      </w:r>
    </w:p>
    <w:p w:rsidR="00A44634" w:rsidRPr="00A44634" w:rsidRDefault="00A44634" w:rsidP="00A44634">
      <w:pPr>
        <w:spacing w:after="240"/>
      </w:pPr>
      <w:r w:rsidRPr="00A44634">
        <w:lastRenderedPageBreak/>
        <w:t>Weitere Informationen unter www.koenig-bauer.com</w:t>
      </w:r>
    </w:p>
    <w:p w:rsidR="00A44634" w:rsidRPr="00A44634" w:rsidRDefault="00A44634" w:rsidP="00A44634">
      <w:pPr>
        <w:spacing w:after="240"/>
      </w:pPr>
    </w:p>
    <w:p w:rsidR="00A44634" w:rsidRPr="004B5DBB" w:rsidRDefault="00A44634" w:rsidP="00A44634">
      <w:pPr>
        <w:pStyle w:val="berschrift4"/>
        <w:rPr>
          <w:lang w:val="de-DE"/>
        </w:rPr>
      </w:pPr>
      <w:r w:rsidRPr="004B5DBB">
        <w:rPr>
          <w:lang w:val="de-DE"/>
        </w:rPr>
        <w:t>Wichtiger Hinweis:</w:t>
      </w:r>
    </w:p>
    <w:p w:rsidR="00A44634" w:rsidRDefault="00A44634" w:rsidP="008B6066">
      <w:pPr>
        <w:spacing w:after="240"/>
        <w:ind w:right="139"/>
      </w:pPr>
      <w:r w:rsidRPr="00A44634">
        <w:t>Diese Presseinformation enthält in die Zukunft gerichtete Aussagen, die auf fundierten Annahmen und Hochrechnungen der Unternehmensleitung der Koenig &amp; Bauer AG beruhen. Auch wenn die Unternehmensleitung der Ansicht ist, dass diese Annahmen und Schätzungen zutreffend sind, können die künftige tatsächliche Entwicklung und die künftigen tatsächlichen Ergebnisse davon aufgrund vielfältiger, vom Unternehmen nicht beeinflussbarer Faktoren abweichen. Zu diesen Faktoren können bei</w:t>
      </w:r>
      <w:r w:rsidR="00D05BF0">
        <w:t>spiels</w:t>
      </w:r>
      <w:r w:rsidRPr="00A44634">
        <w:t xml:space="preserve">weise die Veränderung der Wirtschaftslage, der Wechselkurse sowie Veränderungen innerhalb der grafischen Branche gehören. </w:t>
      </w:r>
      <w:r>
        <w:t xml:space="preserve">Der Ausblick beinhaltet keine bedeutsamen Portfolioeffekte und </w:t>
      </w:r>
      <w:r w:rsidRPr="00A44634">
        <w:t>-einflüsse bezogen auf rechtliche und behördliche Angelegenheiten. Er ist zudem in Abhängigkeit von fortlaufendem Ertragswachstum und ohne disruptive kurzzeitige Veränderungen am Markt. Die Koenig &amp; Bauer AG übernimmt keine Gewährleistung und keine Haftung dafür, dass die künftige Entwicklung und die künftig tatsächlich erzielten Ergebnisse mit den in dieser Presseinformation enthaltenen Zahlen und Aussagen identisch sein werden.</w:t>
      </w:r>
      <w:r>
        <w:br/>
      </w:r>
      <w:r>
        <w:br w:type="page"/>
      </w:r>
    </w:p>
    <w:tbl>
      <w:tblPr>
        <w:tblStyle w:val="KoenigundBauerTabelle"/>
        <w:tblW w:w="9131" w:type="dxa"/>
        <w:tblLook w:val="04A0" w:firstRow="1" w:lastRow="0" w:firstColumn="1" w:lastColumn="0" w:noHBand="0" w:noVBand="1"/>
      </w:tblPr>
      <w:tblGrid>
        <w:gridCol w:w="3518"/>
        <w:gridCol w:w="1871"/>
        <w:gridCol w:w="1871"/>
        <w:gridCol w:w="1871"/>
      </w:tblGrid>
      <w:tr w:rsidR="00A44634" w:rsidTr="00B51F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D05BF0">
            <w:pPr>
              <w:spacing w:after="240"/>
            </w:pPr>
            <w:r>
              <w:lastRenderedPageBreak/>
              <w:t>Koenig &amp; Bauer</w:t>
            </w:r>
            <w:r w:rsidR="00D05BF0">
              <w:t>-</w:t>
            </w:r>
            <w:r>
              <w:t>Gruppe</w:t>
            </w:r>
          </w:p>
        </w:tc>
        <w:tc>
          <w:tcPr>
            <w:tcW w:w="1871" w:type="dxa"/>
          </w:tcPr>
          <w:p w:rsidR="00A44634" w:rsidRDefault="00A44634" w:rsidP="00054517">
            <w:pPr>
              <w:spacing w:after="240"/>
              <w:cnfStyle w:val="100000000000" w:firstRow="1" w:lastRow="0" w:firstColumn="0" w:lastColumn="0" w:oddVBand="0" w:evenVBand="0" w:oddHBand="0" w:evenHBand="0" w:firstRowFirstColumn="0" w:firstRowLastColumn="0" w:lastRowFirstColumn="0" w:lastRowLastColumn="0"/>
            </w:pPr>
            <w:r>
              <w:t>3</w:t>
            </w:r>
            <w:r w:rsidR="00054517">
              <w:t>0</w:t>
            </w:r>
            <w:r>
              <w:t>.</w:t>
            </w:r>
            <w:r w:rsidR="00FB2412">
              <w:t>0</w:t>
            </w:r>
            <w:r w:rsidR="00054517">
              <w:t>6</w:t>
            </w:r>
            <w:r>
              <w:t>.201</w:t>
            </w:r>
            <w:r w:rsidR="00FB2412">
              <w:t>8</w:t>
            </w:r>
            <w:r>
              <w:br/>
              <w:t xml:space="preserve">in Mio. </w:t>
            </w:r>
            <w:r w:rsidR="003603A1">
              <w:t>€</w:t>
            </w:r>
          </w:p>
        </w:tc>
        <w:tc>
          <w:tcPr>
            <w:tcW w:w="1871" w:type="dxa"/>
          </w:tcPr>
          <w:p w:rsidR="00A44634" w:rsidRDefault="00A44634" w:rsidP="00054517">
            <w:pPr>
              <w:spacing w:after="240"/>
              <w:cnfStyle w:val="100000000000" w:firstRow="1" w:lastRow="0" w:firstColumn="0" w:lastColumn="0" w:oddVBand="0" w:evenVBand="0" w:oddHBand="0" w:evenHBand="0" w:firstRowFirstColumn="0" w:firstRowLastColumn="0" w:lastRowFirstColumn="0" w:lastRowLastColumn="0"/>
            </w:pPr>
            <w:r>
              <w:t>3</w:t>
            </w:r>
            <w:r w:rsidR="00054517">
              <w:t>0</w:t>
            </w:r>
            <w:r>
              <w:t>.</w:t>
            </w:r>
            <w:r w:rsidR="00FB2412">
              <w:t>0</w:t>
            </w:r>
            <w:r w:rsidR="00054517">
              <w:t>6</w:t>
            </w:r>
            <w:r>
              <w:t>.201</w:t>
            </w:r>
            <w:r w:rsidR="00FB2412">
              <w:t>9</w:t>
            </w:r>
            <w:r>
              <w:br/>
              <w:t xml:space="preserve">in Mio. </w:t>
            </w:r>
            <w:r w:rsidR="003603A1">
              <w:t>€</w:t>
            </w:r>
          </w:p>
        </w:tc>
        <w:tc>
          <w:tcPr>
            <w:tcW w:w="1871" w:type="dxa"/>
          </w:tcPr>
          <w:p w:rsidR="00A44634" w:rsidRDefault="00A44634" w:rsidP="00A44634">
            <w:pPr>
              <w:spacing w:after="240"/>
              <w:cnfStyle w:val="100000000000" w:firstRow="1" w:lastRow="0" w:firstColumn="0" w:lastColumn="0" w:oddVBand="0" w:evenVBand="0" w:oddHBand="0" w:evenHBand="0" w:firstRowFirstColumn="0" w:firstRowLastColumn="0" w:lastRowFirstColumn="0" w:lastRowLastColumn="0"/>
            </w:pPr>
            <w:r>
              <w:t>Veränderung</w:t>
            </w: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Umsatz</w:t>
            </w:r>
            <w:r>
              <w:br/>
            </w:r>
            <w:r w:rsidRPr="00A15613">
              <w:rPr>
                <w:rStyle w:val="Fett"/>
              </w:rPr>
              <w:t>Sheetfed</w:t>
            </w:r>
            <w:r w:rsidRPr="00A15613">
              <w:rPr>
                <w:rStyle w:val="Fett"/>
              </w:rPr>
              <w:br/>
              <w:t>Digital &amp; Web</w:t>
            </w:r>
            <w:r>
              <w:br/>
            </w:r>
            <w:r w:rsidRPr="00A44634">
              <w:rPr>
                <w:b w:val="0"/>
              </w:rPr>
              <w:t>Special</w:t>
            </w:r>
            <w:r w:rsidRPr="00A44634">
              <w:rPr>
                <w:b w:val="0"/>
              </w:rPr>
              <w:br/>
              <w:t>Überleitung</w:t>
            </w:r>
          </w:p>
        </w:tc>
        <w:tc>
          <w:tcPr>
            <w:tcW w:w="1871" w:type="dxa"/>
          </w:tcPr>
          <w:p w:rsidR="00A44634" w:rsidRPr="006B2D44" w:rsidRDefault="00E855BB" w:rsidP="00E855BB">
            <w:pPr>
              <w:spacing w:after="240"/>
              <w:jc w:val="right"/>
              <w:cnfStyle w:val="000000000000" w:firstRow="0" w:lastRow="0" w:firstColumn="0" w:lastColumn="0" w:oddVBand="0" w:evenVBand="0" w:oddHBand="0" w:evenHBand="0" w:firstRowFirstColumn="0" w:firstRowLastColumn="0" w:lastRowFirstColumn="0" w:lastRowLastColumn="0"/>
              <w:rPr>
                <w:rStyle w:val="Fett"/>
                <w:b w:val="0"/>
              </w:rPr>
            </w:pPr>
            <w:r>
              <w:rPr>
                <w:rStyle w:val="Fett"/>
              </w:rPr>
              <w:t>514,4</w:t>
            </w:r>
            <w:r w:rsidR="006B2D44" w:rsidRPr="006B2D44">
              <w:rPr>
                <w:rStyle w:val="Fett"/>
              </w:rPr>
              <w:br/>
            </w:r>
            <w:r>
              <w:rPr>
                <w:rStyle w:val="Fett"/>
                <w:b w:val="0"/>
              </w:rPr>
              <w:t>270,8</w:t>
            </w:r>
            <w:r w:rsidR="006B2D44" w:rsidRPr="00A15613">
              <w:rPr>
                <w:rStyle w:val="Fett"/>
                <w:b w:val="0"/>
              </w:rPr>
              <w:br/>
            </w:r>
            <w:r>
              <w:rPr>
                <w:rStyle w:val="Fett"/>
                <w:b w:val="0"/>
              </w:rPr>
              <w:t>58,1</w:t>
            </w:r>
            <w:r w:rsidR="006B2D44" w:rsidRPr="006B2D44">
              <w:rPr>
                <w:rStyle w:val="Fett"/>
                <w:b w:val="0"/>
              </w:rPr>
              <w:br/>
            </w:r>
            <w:r>
              <w:rPr>
                <w:rStyle w:val="Fett"/>
                <w:b w:val="0"/>
              </w:rPr>
              <w:t>196,3</w:t>
            </w:r>
            <w:r w:rsidR="006B2D44" w:rsidRPr="006B2D44">
              <w:rPr>
                <w:rStyle w:val="Fett"/>
                <w:b w:val="0"/>
              </w:rPr>
              <w:br/>
              <w:t>-</w:t>
            </w:r>
            <w:r>
              <w:rPr>
                <w:rStyle w:val="Fett"/>
                <w:b w:val="0"/>
              </w:rPr>
              <w:t>10</w:t>
            </w:r>
            <w:r w:rsidR="00F16843">
              <w:rPr>
                <w:rStyle w:val="Fett"/>
                <w:b w:val="0"/>
              </w:rPr>
              <w:t>,</w:t>
            </w:r>
            <w:r>
              <w:rPr>
                <w:rStyle w:val="Fett"/>
                <w:b w:val="0"/>
              </w:rPr>
              <w:t>8</w:t>
            </w:r>
          </w:p>
        </w:tc>
        <w:tc>
          <w:tcPr>
            <w:tcW w:w="1871" w:type="dxa"/>
          </w:tcPr>
          <w:p w:rsidR="00A44634" w:rsidRDefault="00E855BB" w:rsidP="00E855BB">
            <w:pPr>
              <w:spacing w:after="240"/>
              <w:jc w:val="right"/>
              <w:cnfStyle w:val="000000000000" w:firstRow="0" w:lastRow="0" w:firstColumn="0" w:lastColumn="0" w:oddVBand="0" w:evenVBand="0" w:oddHBand="0" w:evenHBand="0" w:firstRowFirstColumn="0" w:firstRowLastColumn="0" w:lastRowFirstColumn="0" w:lastRowLastColumn="0"/>
            </w:pPr>
            <w:r>
              <w:rPr>
                <w:b/>
              </w:rPr>
              <w:t>506,0</w:t>
            </w:r>
            <w:r w:rsidR="006B2D44">
              <w:br/>
            </w:r>
            <w:r>
              <w:t>257,3</w:t>
            </w:r>
            <w:r w:rsidR="006B2D44">
              <w:br/>
            </w:r>
            <w:r>
              <w:t>64,5</w:t>
            </w:r>
            <w:r w:rsidR="006B2D44">
              <w:br/>
            </w:r>
            <w:r>
              <w:t>203,6</w:t>
            </w:r>
            <w:r w:rsidR="006B2D44">
              <w:br/>
              <w:t>-</w:t>
            </w:r>
            <w:r>
              <w:t>19</w:t>
            </w:r>
            <w:r w:rsidR="00F16843">
              <w:t>,</w:t>
            </w:r>
            <w:r>
              <w:t>4</w:t>
            </w:r>
          </w:p>
        </w:tc>
        <w:tc>
          <w:tcPr>
            <w:tcW w:w="1871" w:type="dxa"/>
          </w:tcPr>
          <w:p w:rsidR="00A44634" w:rsidRDefault="00E855BB" w:rsidP="00324066">
            <w:pPr>
              <w:spacing w:after="240"/>
              <w:jc w:val="right"/>
              <w:cnfStyle w:val="000000000000" w:firstRow="0" w:lastRow="0" w:firstColumn="0" w:lastColumn="0" w:oddVBand="0" w:evenVBand="0" w:oddHBand="0" w:evenHBand="0" w:firstRowFirstColumn="0" w:firstRowLastColumn="0" w:lastRowFirstColumn="0" w:lastRowLastColumn="0"/>
            </w:pPr>
            <w:r>
              <w:rPr>
                <w:b/>
              </w:rPr>
              <w:t>-</w:t>
            </w:r>
            <w:r w:rsidR="006B2D44" w:rsidRPr="00A15613">
              <w:rPr>
                <w:b/>
              </w:rPr>
              <w:t xml:space="preserve"> </w:t>
            </w:r>
            <w:r w:rsidR="00324066">
              <w:rPr>
                <w:b/>
              </w:rPr>
              <w:t>1</w:t>
            </w:r>
            <w:r w:rsidR="006B2D44" w:rsidRPr="00A15613">
              <w:rPr>
                <w:b/>
              </w:rPr>
              <w:t>,</w:t>
            </w:r>
            <w:r w:rsidR="00324066">
              <w:rPr>
                <w:b/>
              </w:rPr>
              <w:t>6</w:t>
            </w:r>
            <w:r w:rsidR="006B2D44" w:rsidRPr="00A15613">
              <w:rPr>
                <w:b/>
              </w:rPr>
              <w:t xml:space="preserve"> %</w:t>
            </w:r>
            <w:r w:rsidR="006B2D44">
              <w:br/>
            </w:r>
            <w:r>
              <w:t>-</w:t>
            </w:r>
            <w:r w:rsidR="006B2D44">
              <w:t xml:space="preserve"> </w:t>
            </w:r>
            <w:r>
              <w:t>5</w:t>
            </w:r>
            <w:r w:rsidR="006B2D44">
              <w:t>,</w:t>
            </w:r>
            <w:r>
              <w:t>0</w:t>
            </w:r>
            <w:r w:rsidR="006B2D44">
              <w:t xml:space="preserve"> %</w:t>
            </w:r>
            <w:r w:rsidR="006B2D44">
              <w:br/>
            </w:r>
            <w:r>
              <w:t>+</w:t>
            </w:r>
            <w:r w:rsidR="006B2D44">
              <w:t xml:space="preserve"> </w:t>
            </w:r>
            <w:r>
              <w:t>11</w:t>
            </w:r>
            <w:r w:rsidR="006B2D44">
              <w:t>,</w:t>
            </w:r>
            <w:r>
              <w:t>0</w:t>
            </w:r>
            <w:r w:rsidR="006B2D44">
              <w:t xml:space="preserve"> %</w:t>
            </w:r>
            <w:r w:rsidR="006B2D44">
              <w:br/>
              <w:t xml:space="preserve">+ </w:t>
            </w:r>
            <w:r>
              <w:t>3,7</w:t>
            </w:r>
            <w:r w:rsidR="006B2D44">
              <w:t xml:space="preserve"> %</w:t>
            </w: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Auftragseingang</w:t>
            </w:r>
            <w:r>
              <w:br/>
            </w:r>
            <w:r w:rsidRPr="00A15613">
              <w:rPr>
                <w:rStyle w:val="Fett"/>
              </w:rPr>
              <w:t>Sheetfed</w:t>
            </w:r>
            <w:r w:rsidRPr="00A15613">
              <w:rPr>
                <w:rStyle w:val="Fett"/>
              </w:rPr>
              <w:br/>
              <w:t>Digital &amp; Web</w:t>
            </w:r>
            <w:r>
              <w:br/>
            </w:r>
            <w:r w:rsidRPr="00A44634">
              <w:rPr>
                <w:b w:val="0"/>
              </w:rPr>
              <w:t>Special</w:t>
            </w:r>
            <w:r w:rsidRPr="00A44634">
              <w:rPr>
                <w:b w:val="0"/>
              </w:rPr>
              <w:br/>
              <w:t>Überleitung</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b/>
              </w:rPr>
              <w:t>705,3</w:t>
            </w:r>
            <w:r w:rsidR="006B2D44">
              <w:br/>
            </w:r>
            <w:r>
              <w:t>313,8</w:t>
            </w:r>
            <w:r w:rsidR="006B2D44">
              <w:br/>
            </w:r>
            <w:r>
              <w:t>82,0</w:t>
            </w:r>
            <w:r w:rsidR="006B2D44">
              <w:br/>
            </w:r>
            <w:r>
              <w:t>330,2</w:t>
            </w:r>
            <w:r w:rsidR="006B2D44">
              <w:br/>
              <w:t>-</w:t>
            </w:r>
            <w:r>
              <w:t>20</w:t>
            </w:r>
            <w:r w:rsidR="00F16843">
              <w:t>,7</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573,3</w:t>
            </w:r>
            <w:r w:rsidR="00A15613">
              <w:br/>
            </w:r>
            <w:r>
              <w:t>329,0</w:t>
            </w:r>
            <w:r w:rsidR="00A15613">
              <w:br/>
            </w:r>
            <w:r>
              <w:t>89</w:t>
            </w:r>
            <w:r w:rsidR="00F16843">
              <w:t>,9</w:t>
            </w:r>
            <w:r w:rsidR="00A15613">
              <w:br/>
            </w:r>
            <w:r>
              <w:t>174,5</w:t>
            </w:r>
            <w:r w:rsidR="00A15613">
              <w:br/>
              <w:t>-</w:t>
            </w:r>
            <w:r>
              <w:t>20</w:t>
            </w:r>
            <w:r w:rsidR="00A15613">
              <w:t>,</w:t>
            </w:r>
            <w:r>
              <w:t>1</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w:t>
            </w:r>
            <w:r w:rsidR="00A15613" w:rsidRPr="00A15613">
              <w:rPr>
                <w:rStyle w:val="Fett"/>
              </w:rPr>
              <w:t xml:space="preserve"> </w:t>
            </w:r>
            <w:r w:rsidR="00F16843">
              <w:rPr>
                <w:rStyle w:val="Fett"/>
              </w:rPr>
              <w:t>1</w:t>
            </w:r>
            <w:r>
              <w:rPr>
                <w:rStyle w:val="Fett"/>
              </w:rPr>
              <w:t>8</w:t>
            </w:r>
            <w:r w:rsidR="00A15613" w:rsidRPr="00A15613">
              <w:rPr>
                <w:rStyle w:val="Fett"/>
              </w:rPr>
              <w:t>,</w:t>
            </w:r>
            <w:r>
              <w:rPr>
                <w:rStyle w:val="Fett"/>
              </w:rPr>
              <w:t>7</w:t>
            </w:r>
            <w:r w:rsidR="00A15613" w:rsidRPr="00A15613">
              <w:rPr>
                <w:rStyle w:val="Fett"/>
              </w:rPr>
              <w:t xml:space="preserve"> %</w:t>
            </w:r>
            <w:r w:rsidR="00A15613">
              <w:br/>
            </w:r>
            <w:r w:rsidR="00F16843">
              <w:t>+</w:t>
            </w:r>
            <w:r w:rsidR="00A15613">
              <w:t xml:space="preserve"> </w:t>
            </w:r>
            <w:r>
              <w:t>4</w:t>
            </w:r>
            <w:r w:rsidR="00A15613">
              <w:t>,</w:t>
            </w:r>
            <w:r>
              <w:t>8</w:t>
            </w:r>
            <w:r w:rsidR="00A15613">
              <w:t xml:space="preserve"> %</w:t>
            </w:r>
            <w:r w:rsidR="00A15613">
              <w:br/>
            </w:r>
            <w:r>
              <w:t xml:space="preserve">+ </w:t>
            </w:r>
            <w:r w:rsidR="00F16843">
              <w:t>9</w:t>
            </w:r>
            <w:r w:rsidR="00A15613">
              <w:t>,</w:t>
            </w:r>
            <w:r>
              <w:t>6</w:t>
            </w:r>
            <w:r w:rsidR="00A15613">
              <w:t xml:space="preserve"> %</w:t>
            </w:r>
            <w:r w:rsidR="00A15613">
              <w:br/>
            </w:r>
            <w:r>
              <w:t>-</w:t>
            </w:r>
            <w:r w:rsidR="00A15613">
              <w:t xml:space="preserve"> </w:t>
            </w:r>
            <w:r>
              <w:t>4</w:t>
            </w:r>
            <w:r w:rsidR="00F16843">
              <w:t>7</w:t>
            </w:r>
            <w:r w:rsidR="00A15613">
              <w:t>,</w:t>
            </w:r>
            <w:r>
              <w:t>2</w:t>
            </w:r>
            <w:r w:rsidR="00A15613">
              <w:t xml:space="preserve"> %</w:t>
            </w: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Auftragsbestand</w:t>
            </w:r>
            <w:r>
              <w:br/>
            </w:r>
            <w:r w:rsidRPr="00A15613">
              <w:rPr>
                <w:rStyle w:val="Fett"/>
              </w:rPr>
              <w:t>Sheetfed</w:t>
            </w:r>
            <w:r w:rsidRPr="00A15613">
              <w:rPr>
                <w:rStyle w:val="Fett"/>
              </w:rPr>
              <w:br/>
              <w:t>Digital &amp; Web</w:t>
            </w:r>
            <w:r>
              <w:br/>
            </w:r>
            <w:r w:rsidRPr="00A44634">
              <w:rPr>
                <w:b w:val="0"/>
              </w:rPr>
              <w:t>Special</w:t>
            </w:r>
            <w:r w:rsidRPr="00A44634">
              <w:rPr>
                <w:b w:val="0"/>
              </w:rPr>
              <w:br/>
              <w:t>Überleitung</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805,8</w:t>
            </w:r>
            <w:r w:rsidR="006B2D44">
              <w:br/>
            </w:r>
            <w:r w:rsidR="00F16843">
              <w:t>274,</w:t>
            </w:r>
            <w:r>
              <w:t>7</w:t>
            </w:r>
            <w:r w:rsidR="006B2D44">
              <w:br/>
            </w:r>
            <w:r>
              <w:t>86,4</w:t>
            </w:r>
            <w:r w:rsidR="006B2D44">
              <w:br/>
            </w:r>
            <w:r>
              <w:t>464,8</w:t>
            </w:r>
            <w:r w:rsidR="006B2D44">
              <w:br/>
              <w:t>-</w:t>
            </w:r>
            <w:r>
              <w:t>20,1</w:t>
            </w:r>
          </w:p>
        </w:tc>
        <w:tc>
          <w:tcPr>
            <w:tcW w:w="1871" w:type="dxa"/>
          </w:tcPr>
          <w:p w:rsidR="00A44634"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6</w:t>
            </w:r>
            <w:r w:rsidR="001A6147">
              <w:rPr>
                <w:rStyle w:val="Fett"/>
              </w:rPr>
              <w:t>78</w:t>
            </w:r>
            <w:r>
              <w:rPr>
                <w:rStyle w:val="Fett"/>
              </w:rPr>
              <w:t>,</w:t>
            </w:r>
            <w:r w:rsidR="001A6147">
              <w:rPr>
                <w:rStyle w:val="Fett"/>
              </w:rPr>
              <w:t>2</w:t>
            </w:r>
            <w:r w:rsidR="006B2D44">
              <w:br/>
            </w:r>
            <w:r>
              <w:t>2</w:t>
            </w:r>
            <w:r w:rsidR="001A6147">
              <w:t>61</w:t>
            </w:r>
            <w:r>
              <w:t>,</w:t>
            </w:r>
            <w:r w:rsidR="001A6147">
              <w:t>6</w:t>
            </w:r>
            <w:r w:rsidR="00A15613">
              <w:br/>
            </w:r>
            <w:r w:rsidR="001A6147">
              <w:t>111,2</w:t>
            </w:r>
            <w:r w:rsidR="00A15613">
              <w:br/>
            </w:r>
            <w:r w:rsidR="001A6147">
              <w:t>315,5</w:t>
            </w:r>
            <w:r w:rsidR="00A15613">
              <w:br/>
              <w:t>-1</w:t>
            </w:r>
            <w:r w:rsidR="001A6147">
              <w:t>0</w:t>
            </w:r>
            <w:r w:rsidR="00A15613">
              <w:t>,</w:t>
            </w:r>
            <w:r w:rsidR="001A6147">
              <w:t>1</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w:t>
            </w:r>
            <w:r w:rsidR="00A15613" w:rsidRPr="001F5D76">
              <w:rPr>
                <w:rStyle w:val="Fett"/>
              </w:rPr>
              <w:t xml:space="preserve"> </w:t>
            </w:r>
            <w:r w:rsidR="00F16843">
              <w:rPr>
                <w:rStyle w:val="Fett"/>
              </w:rPr>
              <w:t>1</w:t>
            </w:r>
            <w:r>
              <w:rPr>
                <w:rStyle w:val="Fett"/>
              </w:rPr>
              <w:t>5</w:t>
            </w:r>
            <w:r w:rsidR="00A15613" w:rsidRPr="001F5D76">
              <w:rPr>
                <w:rStyle w:val="Fett"/>
              </w:rPr>
              <w:t>,</w:t>
            </w:r>
            <w:r>
              <w:rPr>
                <w:rStyle w:val="Fett"/>
              </w:rPr>
              <w:t>8</w:t>
            </w:r>
            <w:r w:rsidR="00A15613" w:rsidRPr="001F5D76">
              <w:rPr>
                <w:rStyle w:val="Fett"/>
              </w:rPr>
              <w:t xml:space="preserve"> %</w:t>
            </w:r>
            <w:r w:rsidR="00A15613">
              <w:br/>
              <w:t xml:space="preserve">- </w:t>
            </w:r>
            <w:r>
              <w:t>4</w:t>
            </w:r>
            <w:r w:rsidR="00A15613">
              <w:t>,</w:t>
            </w:r>
            <w:r>
              <w:t>8</w:t>
            </w:r>
            <w:r w:rsidR="00A15613">
              <w:t xml:space="preserve"> %</w:t>
            </w:r>
            <w:r w:rsidR="00A15613">
              <w:br/>
              <w:t xml:space="preserve">+ </w:t>
            </w:r>
            <w:r>
              <w:t>28</w:t>
            </w:r>
            <w:r w:rsidR="00A15613">
              <w:t>,</w:t>
            </w:r>
            <w:r>
              <w:t>7</w:t>
            </w:r>
            <w:r w:rsidR="00A15613">
              <w:t xml:space="preserve"> %</w:t>
            </w:r>
            <w:r w:rsidR="00A15613">
              <w:br/>
            </w:r>
            <w:r>
              <w:t>-</w:t>
            </w:r>
            <w:r w:rsidR="00A15613">
              <w:t xml:space="preserve"> </w:t>
            </w:r>
            <w:r>
              <w:t>32,1</w:t>
            </w:r>
            <w:r w:rsidR="00A15613">
              <w:t xml:space="preserve"> %</w:t>
            </w: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EBIT</w:t>
            </w:r>
            <w:r>
              <w:br/>
            </w:r>
            <w:r w:rsidRPr="00A15613">
              <w:rPr>
                <w:rStyle w:val="Fett"/>
              </w:rPr>
              <w:t>Sheetfed</w:t>
            </w:r>
            <w:r w:rsidRPr="00A15613">
              <w:rPr>
                <w:rStyle w:val="Fett"/>
              </w:rPr>
              <w:br/>
              <w:t>Digital &amp; Web</w:t>
            </w:r>
            <w:r>
              <w:br/>
            </w:r>
            <w:r w:rsidRPr="00A44634">
              <w:rPr>
                <w:b w:val="0"/>
              </w:rPr>
              <w:t>Special</w:t>
            </w:r>
            <w:r w:rsidRPr="00A44634">
              <w:rPr>
                <w:b w:val="0"/>
              </w:rPr>
              <w:br/>
              <w:t>Überleitung</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10</w:t>
            </w:r>
            <w:r w:rsidR="00F16843">
              <w:rPr>
                <w:rStyle w:val="Fett"/>
              </w:rPr>
              <w:t>,</w:t>
            </w:r>
            <w:r>
              <w:rPr>
                <w:rStyle w:val="Fett"/>
              </w:rPr>
              <w:t>6</w:t>
            </w:r>
            <w:r w:rsidR="006B2D44">
              <w:br/>
            </w:r>
            <w:r>
              <w:t>8,1</w:t>
            </w:r>
            <w:r w:rsidR="006B2D44">
              <w:br/>
            </w:r>
            <w:r>
              <w:t>-9,9</w:t>
            </w:r>
            <w:r w:rsidR="006B2D44">
              <w:br/>
            </w:r>
            <w:r>
              <w:t>14,7</w:t>
            </w:r>
            <w:r w:rsidR="006B2D44">
              <w:br/>
              <w:t>-</w:t>
            </w:r>
            <w:r>
              <w:t>2,3</w:t>
            </w:r>
          </w:p>
        </w:tc>
        <w:tc>
          <w:tcPr>
            <w:tcW w:w="1871" w:type="dxa"/>
          </w:tcPr>
          <w:p w:rsidR="00A44634" w:rsidRDefault="001A6147" w:rsidP="001A6147">
            <w:pPr>
              <w:spacing w:after="240"/>
              <w:jc w:val="right"/>
              <w:cnfStyle w:val="000000000000" w:firstRow="0" w:lastRow="0" w:firstColumn="0" w:lastColumn="0" w:oddVBand="0" w:evenVBand="0" w:oddHBand="0" w:evenHBand="0" w:firstRowFirstColumn="0" w:firstRowLastColumn="0" w:lastRowFirstColumn="0" w:lastRowLastColumn="0"/>
            </w:pPr>
            <w:r>
              <w:rPr>
                <w:rStyle w:val="Fett"/>
              </w:rPr>
              <w:t>0</w:t>
            </w:r>
            <w:r w:rsidR="00F16843">
              <w:rPr>
                <w:rStyle w:val="Fett"/>
              </w:rPr>
              <w:t>,</w:t>
            </w:r>
            <w:r>
              <w:rPr>
                <w:rStyle w:val="Fett"/>
              </w:rPr>
              <w:t>6</w:t>
            </w:r>
            <w:r w:rsidR="006B2D44">
              <w:br/>
            </w:r>
            <w:r w:rsidR="00F16843">
              <w:t>-</w:t>
            </w:r>
            <w:r>
              <w:t>1</w:t>
            </w:r>
            <w:r w:rsidR="00F16843">
              <w:t>,</w:t>
            </w:r>
            <w:r>
              <w:t>2</w:t>
            </w:r>
            <w:r w:rsidR="006B2D44">
              <w:br/>
            </w:r>
            <w:r>
              <w:t>-11,1</w:t>
            </w:r>
            <w:r w:rsidR="006B2D44">
              <w:br/>
            </w:r>
            <w:r>
              <w:t>6,4</w:t>
            </w:r>
            <w:r w:rsidR="006B2D44">
              <w:br/>
            </w:r>
            <w:r>
              <w:t>6,5</w:t>
            </w:r>
          </w:p>
        </w:tc>
        <w:tc>
          <w:tcPr>
            <w:tcW w:w="1871" w:type="dxa"/>
          </w:tcPr>
          <w:p w:rsidR="00A44634"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Ergebnis vor Steuern (EBT)</w:t>
            </w:r>
          </w:p>
        </w:tc>
        <w:tc>
          <w:tcPr>
            <w:tcW w:w="1871" w:type="dxa"/>
          </w:tcPr>
          <w:p w:rsidR="00A44634" w:rsidRPr="00A15613" w:rsidRDefault="001A6147" w:rsidP="00A15613">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8,5</w:t>
            </w:r>
          </w:p>
        </w:tc>
        <w:tc>
          <w:tcPr>
            <w:tcW w:w="1871" w:type="dxa"/>
          </w:tcPr>
          <w:p w:rsidR="00A44634" w:rsidRPr="00A15613"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w:t>
            </w:r>
            <w:r w:rsidR="001A6147">
              <w:rPr>
                <w:b/>
              </w:rPr>
              <w:t>2</w:t>
            </w:r>
            <w:r>
              <w:rPr>
                <w:b/>
              </w:rPr>
              <w:t>,</w:t>
            </w:r>
            <w:r w:rsidR="001A6147">
              <w:rPr>
                <w:b/>
              </w:rPr>
              <w:t>0</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Konzernergebnis</w:t>
            </w:r>
          </w:p>
        </w:tc>
        <w:tc>
          <w:tcPr>
            <w:tcW w:w="1871" w:type="dxa"/>
          </w:tcPr>
          <w:p w:rsidR="00A44634" w:rsidRPr="00A15613" w:rsidRDefault="001A6147" w:rsidP="00A15613">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6,7</w:t>
            </w:r>
          </w:p>
        </w:tc>
        <w:tc>
          <w:tcPr>
            <w:tcW w:w="1871" w:type="dxa"/>
          </w:tcPr>
          <w:p w:rsidR="00A44634" w:rsidRPr="00A15613"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w:t>
            </w:r>
            <w:r w:rsidR="001A6147">
              <w:rPr>
                <w:b/>
              </w:rPr>
              <w:t>2</w:t>
            </w:r>
            <w:r>
              <w:rPr>
                <w:b/>
              </w:rPr>
              <w:t>,</w:t>
            </w:r>
            <w:r w:rsidR="001A6147">
              <w:rPr>
                <w:b/>
              </w:rPr>
              <w:t>4</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Ergebnis je Aktie in €</w:t>
            </w:r>
          </w:p>
        </w:tc>
        <w:tc>
          <w:tcPr>
            <w:tcW w:w="1871" w:type="dxa"/>
          </w:tcPr>
          <w:p w:rsidR="00A44634" w:rsidRPr="00A15613"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0,</w:t>
            </w:r>
            <w:r w:rsidR="001A6147">
              <w:rPr>
                <w:b/>
              </w:rPr>
              <w:t>39</w:t>
            </w:r>
          </w:p>
        </w:tc>
        <w:tc>
          <w:tcPr>
            <w:tcW w:w="1871" w:type="dxa"/>
          </w:tcPr>
          <w:p w:rsidR="00A44634" w:rsidRPr="00A15613"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-0,</w:t>
            </w:r>
            <w:r w:rsidR="001A6147">
              <w:rPr>
                <w:b/>
              </w:rPr>
              <w:t>15</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Cashflow aus betrieblicher</w:t>
            </w:r>
            <w:r>
              <w:br/>
              <w:t>Geschäftstätigkeit</w:t>
            </w:r>
          </w:p>
        </w:tc>
        <w:tc>
          <w:tcPr>
            <w:tcW w:w="1871" w:type="dxa"/>
          </w:tcPr>
          <w:p w:rsidR="00A44634" w:rsidRPr="00A15613" w:rsidRDefault="001A6147" w:rsidP="00A15613">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17,4</w:t>
            </w:r>
          </w:p>
        </w:tc>
        <w:tc>
          <w:tcPr>
            <w:tcW w:w="1871" w:type="dxa"/>
          </w:tcPr>
          <w:p w:rsidR="00A44634" w:rsidRPr="00A15613" w:rsidRDefault="00F16843"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w:t>
            </w:r>
            <w:r w:rsidR="001A6147">
              <w:rPr>
                <w:b/>
              </w:rPr>
              <w:t>96</w:t>
            </w:r>
            <w:r>
              <w:rPr>
                <w:b/>
              </w:rPr>
              <w:t>,</w:t>
            </w:r>
            <w:r w:rsidR="001A6147">
              <w:rPr>
                <w:b/>
              </w:rPr>
              <w:t>5</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Bilanzsumme</w:t>
            </w:r>
            <w:r w:rsidR="006E3618" w:rsidRPr="00EA4506">
              <w:rPr>
                <w:b w:val="0"/>
              </w:rPr>
              <w:t xml:space="preserve"> </w:t>
            </w:r>
            <w:r w:rsidR="006E3618">
              <w:rPr>
                <w:b w:val="0"/>
              </w:rPr>
              <w:t>(Vorjahr</w:t>
            </w:r>
            <w:r w:rsidR="006E3618" w:rsidRPr="006E3618">
              <w:rPr>
                <w:b w:val="0"/>
              </w:rPr>
              <w:t>: 31.12.)</w:t>
            </w:r>
          </w:p>
        </w:tc>
        <w:tc>
          <w:tcPr>
            <w:tcW w:w="1871" w:type="dxa"/>
          </w:tcPr>
          <w:p w:rsidR="00A44634" w:rsidRPr="00A15613" w:rsidRDefault="006B2D44" w:rsidP="00F16843">
            <w:pPr>
              <w:spacing w:after="240"/>
              <w:jc w:val="right"/>
              <w:cnfStyle w:val="000000000000" w:firstRow="0" w:lastRow="0" w:firstColumn="0" w:lastColumn="0" w:oddVBand="0" w:evenVBand="0" w:oddHBand="0" w:evenHBand="0" w:firstRowFirstColumn="0" w:firstRowLastColumn="0" w:lastRowFirstColumn="0" w:lastRowLastColumn="0"/>
              <w:rPr>
                <w:b/>
              </w:rPr>
            </w:pPr>
            <w:r w:rsidRPr="00A15613">
              <w:rPr>
                <w:b/>
              </w:rPr>
              <w:t>1.1</w:t>
            </w:r>
            <w:r w:rsidR="00F16843">
              <w:rPr>
                <w:b/>
              </w:rPr>
              <w:t>78,3</w:t>
            </w:r>
          </w:p>
        </w:tc>
        <w:tc>
          <w:tcPr>
            <w:tcW w:w="1871" w:type="dxa"/>
          </w:tcPr>
          <w:p w:rsidR="00A44634" w:rsidRPr="00A15613" w:rsidRDefault="006B2D44"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sidRPr="00A15613">
              <w:rPr>
                <w:b/>
              </w:rPr>
              <w:t>1.</w:t>
            </w:r>
            <w:r w:rsidR="001A6147">
              <w:rPr>
                <w:b/>
              </w:rPr>
              <w:t>24</w:t>
            </w:r>
            <w:r w:rsidR="00F16843">
              <w:rPr>
                <w:b/>
              </w:rPr>
              <w:t>5</w:t>
            </w:r>
            <w:r w:rsidRPr="00A15613">
              <w:rPr>
                <w:b/>
              </w:rPr>
              <w:t>,</w:t>
            </w:r>
            <w:r w:rsidR="001A6147">
              <w:rPr>
                <w:b/>
              </w:rPr>
              <w:t>5</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A44634" w:rsidP="00A44634">
            <w:pPr>
              <w:spacing w:after="240"/>
            </w:pPr>
            <w:r>
              <w:t>Eigenkapital</w:t>
            </w:r>
            <w:r w:rsidR="006E3618" w:rsidRPr="00EA4506">
              <w:rPr>
                <w:b w:val="0"/>
              </w:rPr>
              <w:t xml:space="preserve"> </w:t>
            </w:r>
            <w:r w:rsidR="006E3618">
              <w:rPr>
                <w:b w:val="0"/>
              </w:rPr>
              <w:t>(Vorjahr</w:t>
            </w:r>
            <w:r w:rsidR="006E3618" w:rsidRPr="006E3618">
              <w:rPr>
                <w:b w:val="0"/>
              </w:rPr>
              <w:t>: 31.12.)</w:t>
            </w:r>
          </w:p>
        </w:tc>
        <w:tc>
          <w:tcPr>
            <w:tcW w:w="1871" w:type="dxa"/>
          </w:tcPr>
          <w:p w:rsidR="00A44634" w:rsidRPr="00A15613" w:rsidRDefault="00F16843" w:rsidP="00A15613">
            <w:pPr>
              <w:spacing w:after="240"/>
              <w:jc w:val="right"/>
              <w:cnfStyle w:val="000000000000" w:firstRow="0" w:lastRow="0" w:firstColumn="0" w:lastColumn="0" w:oddVBand="0" w:evenVBand="0" w:oddHBand="0" w:evenHBand="0" w:firstRowFirstColumn="0" w:firstRowLastColumn="0" w:lastRowFirstColumn="0" w:lastRowLastColumn="0"/>
              <w:rPr>
                <w:b/>
              </w:rPr>
            </w:pPr>
            <w:r w:rsidRPr="00A15613">
              <w:rPr>
                <w:b/>
              </w:rPr>
              <w:t>4</w:t>
            </w:r>
            <w:r>
              <w:rPr>
                <w:b/>
              </w:rPr>
              <w:t>53</w:t>
            </w:r>
            <w:r w:rsidRPr="00A15613">
              <w:rPr>
                <w:b/>
              </w:rPr>
              <w:t>,</w:t>
            </w:r>
            <w:r>
              <w:rPr>
                <w:b/>
              </w:rPr>
              <w:t>4</w:t>
            </w:r>
          </w:p>
        </w:tc>
        <w:tc>
          <w:tcPr>
            <w:tcW w:w="1871" w:type="dxa"/>
          </w:tcPr>
          <w:p w:rsidR="00A44634" w:rsidRPr="00A15613" w:rsidRDefault="001A6147" w:rsidP="00F16843">
            <w:pPr>
              <w:spacing w:after="240"/>
              <w:jc w:val="right"/>
              <w:cnfStyle w:val="000000000000" w:firstRow="0" w:lastRow="0" w:firstColumn="0" w:lastColumn="0" w:oddVBand="0" w:evenVBand="0" w:oddHBand="0" w:evenHBand="0" w:firstRowFirstColumn="0" w:firstRowLastColumn="0" w:lastRowFirstColumn="0" w:lastRowLastColumn="0"/>
              <w:rPr>
                <w:b/>
              </w:rPr>
            </w:pPr>
            <w:r>
              <w:rPr>
                <w:b/>
              </w:rPr>
              <w:t>420,9</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r w:rsidR="00A44634" w:rsidTr="00B51FA3">
        <w:tc>
          <w:tcPr>
            <w:cnfStyle w:val="001000000000" w:firstRow="0" w:lastRow="0" w:firstColumn="1" w:lastColumn="0" w:oddVBand="0" w:evenVBand="0" w:oddHBand="0" w:evenHBand="0" w:firstRowFirstColumn="0" w:firstRowLastColumn="0" w:lastRowFirstColumn="0" w:lastRowLastColumn="0"/>
            <w:tcW w:w="3518" w:type="dxa"/>
          </w:tcPr>
          <w:p w:rsidR="00A44634" w:rsidRDefault="006E3618" w:rsidP="00F16843">
            <w:pPr>
              <w:spacing w:after="240"/>
            </w:pPr>
            <w:r>
              <w:t>Mitarbeiter</w:t>
            </w:r>
            <w:r w:rsidR="00054517">
              <w:t xml:space="preserve"> zum 30.06.</w:t>
            </w:r>
            <w:r w:rsidR="00A44634">
              <w:br/>
            </w:r>
            <w:r w:rsidR="00A44634" w:rsidRPr="00A44634">
              <w:rPr>
                <w:b w:val="0"/>
              </w:rPr>
              <w:t>davon Auszubildende/Praktika</w:t>
            </w:r>
            <w:r w:rsidR="004B5DBB">
              <w:rPr>
                <w:b w:val="0"/>
              </w:rPr>
              <w:t>n</w:t>
            </w:r>
            <w:r w:rsidR="00A44634" w:rsidRPr="00A44634">
              <w:rPr>
                <w:b w:val="0"/>
              </w:rPr>
              <w:t>ten</w:t>
            </w:r>
          </w:p>
        </w:tc>
        <w:tc>
          <w:tcPr>
            <w:tcW w:w="1871" w:type="dxa"/>
          </w:tcPr>
          <w:p w:rsidR="00A44634" w:rsidRPr="00A15613" w:rsidRDefault="006B2D44"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sidRPr="00A15613">
              <w:rPr>
                <w:b/>
              </w:rPr>
              <w:t>5.</w:t>
            </w:r>
            <w:r w:rsidR="00F16843">
              <w:rPr>
                <w:b/>
              </w:rPr>
              <w:t>60</w:t>
            </w:r>
            <w:r w:rsidR="001A6147">
              <w:rPr>
                <w:b/>
              </w:rPr>
              <w:t>5</w:t>
            </w:r>
            <w:r w:rsidRPr="00A15613">
              <w:rPr>
                <w:b/>
              </w:rPr>
              <w:br/>
            </w:r>
            <w:r w:rsidR="00F16843">
              <w:t>2</w:t>
            </w:r>
            <w:r w:rsidR="001A6147">
              <w:t>60</w:t>
            </w:r>
          </w:p>
        </w:tc>
        <w:tc>
          <w:tcPr>
            <w:tcW w:w="1871" w:type="dxa"/>
          </w:tcPr>
          <w:p w:rsidR="00A44634" w:rsidRPr="00A15613" w:rsidRDefault="006B2D44" w:rsidP="001A6147">
            <w:pPr>
              <w:spacing w:after="240"/>
              <w:jc w:val="right"/>
              <w:cnfStyle w:val="000000000000" w:firstRow="0" w:lastRow="0" w:firstColumn="0" w:lastColumn="0" w:oddVBand="0" w:evenVBand="0" w:oddHBand="0" w:evenHBand="0" w:firstRowFirstColumn="0" w:firstRowLastColumn="0" w:lastRowFirstColumn="0" w:lastRowLastColumn="0"/>
              <w:rPr>
                <w:b/>
              </w:rPr>
            </w:pPr>
            <w:r w:rsidRPr="00A15613">
              <w:rPr>
                <w:b/>
              </w:rPr>
              <w:t>5.7</w:t>
            </w:r>
            <w:r w:rsidR="001A6147">
              <w:rPr>
                <w:b/>
              </w:rPr>
              <w:t>25</w:t>
            </w:r>
            <w:r w:rsidRPr="00A15613">
              <w:rPr>
                <w:b/>
              </w:rPr>
              <w:br/>
            </w:r>
            <w:r w:rsidR="00F16843">
              <w:t>27</w:t>
            </w:r>
            <w:r w:rsidR="001A6147">
              <w:t>5</w:t>
            </w:r>
          </w:p>
        </w:tc>
        <w:tc>
          <w:tcPr>
            <w:tcW w:w="1871" w:type="dxa"/>
          </w:tcPr>
          <w:p w:rsidR="00A44634" w:rsidRPr="00A15613" w:rsidRDefault="00A44634" w:rsidP="00A15613">
            <w:pPr>
              <w:spacing w:after="240"/>
              <w:jc w:val="right"/>
              <w:cnfStyle w:val="000000000000" w:firstRow="0" w:lastRow="0" w:firstColumn="0" w:lastColumn="0" w:oddVBand="0" w:evenVBand="0" w:oddHBand="0" w:evenHBand="0" w:firstRowFirstColumn="0" w:firstRowLastColumn="0" w:lastRowFirstColumn="0" w:lastRowLastColumn="0"/>
              <w:rPr>
                <w:b/>
              </w:rPr>
            </w:pPr>
          </w:p>
        </w:tc>
      </w:tr>
    </w:tbl>
    <w:p w:rsidR="00EC73CA" w:rsidRPr="00A44634" w:rsidRDefault="00EC73CA" w:rsidP="00A44634">
      <w:pPr>
        <w:spacing w:after="240"/>
      </w:pPr>
    </w:p>
    <w:sectPr w:rsidR="00EC73CA" w:rsidRPr="00A44634" w:rsidSect="00EC73CA">
      <w:headerReference w:type="even" r:id="rId9"/>
      <w:headerReference w:type="default" r:id="rId10"/>
      <w:footerReference w:type="even" r:id="rId11"/>
      <w:footerReference w:type="default" r:id="rId12"/>
      <w:headerReference w:type="first" r:id="rId13"/>
      <w:footerReference w:type="first" r:id="rId14"/>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7C7" w:rsidRDefault="006F47C7" w:rsidP="00647A4F">
      <w:pPr>
        <w:spacing w:after="240"/>
      </w:pPr>
      <w:r>
        <w:separator/>
      </w:r>
    </w:p>
    <w:p w:rsidR="006F47C7" w:rsidRDefault="006F47C7" w:rsidP="00647A4F">
      <w:pPr>
        <w:spacing w:after="240"/>
      </w:pPr>
    </w:p>
  </w:endnote>
  <w:endnote w:type="continuationSeparator" w:id="0">
    <w:p w:rsidR="006F47C7" w:rsidRDefault="006F47C7" w:rsidP="00647A4F">
      <w:pPr>
        <w:spacing w:after="240"/>
      </w:pPr>
      <w:r>
        <w:continuationSeparator/>
      </w:r>
    </w:p>
    <w:p w:rsidR="006F47C7" w:rsidRDefault="006F47C7"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Default="004027A4">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Pr="00F82B5C" w:rsidRDefault="006F47C7" w:rsidP="00182744">
    <w:pPr>
      <w:pStyle w:val="Fuzeile"/>
      <w:spacing w:after="240"/>
    </w:pPr>
    <w:sdt>
      <w:sdt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4027A4">
          <w:t xml:space="preserve">Koenig &amp; Bauer </w:t>
        </w:r>
        <w:r w:rsidR="00E92EF2">
          <w:t>bestätigt Konzernziele 2019</w:t>
        </w:r>
      </w:sdtContent>
    </w:sdt>
    <w:r w:rsidR="004027A4">
      <w:t xml:space="preserve"> | </w:t>
    </w:r>
    <w:r w:rsidR="004027A4">
      <w:fldChar w:fldCharType="begin"/>
    </w:r>
    <w:r w:rsidR="004027A4">
      <w:instrText xml:space="preserve"> PAGE </w:instrText>
    </w:r>
    <w:r w:rsidR="004027A4">
      <w:fldChar w:fldCharType="separate"/>
    </w:r>
    <w:r w:rsidR="009D06B5">
      <w:t>1</w:t>
    </w:r>
    <w:r w:rsidR="004027A4">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Default="006F47C7"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E92EF2">
          <w:t>Koenig &amp; Bauer bestätigt Konzernziele 2019</w:t>
        </w:r>
      </w:sdtContent>
    </w:sdt>
    <w:r w:rsidR="004027A4">
      <w:t xml:space="preserve"> | </w:t>
    </w:r>
    <w:r w:rsidR="004027A4">
      <w:fldChar w:fldCharType="begin"/>
    </w:r>
    <w:r w:rsidR="004027A4">
      <w:instrText xml:space="preserve"> PAGE </w:instrText>
    </w:r>
    <w:r w:rsidR="004027A4">
      <w:fldChar w:fldCharType="separate"/>
    </w:r>
    <w:r w:rsidR="004027A4">
      <w:t>1</w:t>
    </w:r>
    <w:r w:rsidR="004027A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7C7" w:rsidRDefault="006F47C7" w:rsidP="00647A4F">
      <w:pPr>
        <w:spacing w:after="240"/>
      </w:pPr>
      <w:r>
        <w:separator/>
      </w:r>
    </w:p>
  </w:footnote>
  <w:footnote w:type="continuationSeparator" w:id="0">
    <w:p w:rsidR="006F47C7" w:rsidRDefault="006F47C7" w:rsidP="00647A4F">
      <w:pPr>
        <w:spacing w:after="240"/>
      </w:pPr>
      <w:r>
        <w:continuationSeparator/>
      </w:r>
    </w:p>
    <w:p w:rsidR="006F47C7" w:rsidRDefault="006F47C7"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Default="004027A4"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Default="004027A4" w:rsidP="00647A4F">
    <w:pPr>
      <w:pStyle w:val="Kopfzeile"/>
      <w:spacing w:after="240"/>
    </w:pPr>
    <w:r w:rsidRPr="000B7CEC">
      <w:rPr>
        <w:noProof/>
        <w:lang w:eastAsia="de-DE"/>
      </w:rPr>
      <w:drawing>
        <wp:anchor distT="0" distB="0" distL="114300" distR="114300" simplePos="0" relativeHeight="251664384" behindDoc="0" locked="1" layoutInCell="1" allowOverlap="1" wp14:anchorId="7FC29350" wp14:editId="669A51A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7A4" w:rsidRPr="000B7CEC" w:rsidRDefault="004027A4" w:rsidP="00647A4F">
    <w:pPr>
      <w:pStyle w:val="Kopfzeile"/>
      <w:spacing w:after="240"/>
    </w:pPr>
    <w:r w:rsidRPr="000B7CEC">
      <w:rPr>
        <w:noProof/>
        <w:lang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8" w15:restartNumberingAfterBreak="0">
    <w:nsid w:val="217827A3"/>
    <w:multiLevelType w:val="hybridMultilevel"/>
    <w:tmpl w:val="7EB0B634"/>
    <w:lvl w:ilvl="0" w:tplc="79AA0D48">
      <w:start w:val="1"/>
      <w:numFmt w:val="bullet"/>
      <w:lvlText w:val="•"/>
      <w:lvlJc w:val="left"/>
      <w:pPr>
        <w:tabs>
          <w:tab w:val="num" w:pos="720"/>
        </w:tabs>
        <w:ind w:left="720" w:hanging="360"/>
      </w:pPr>
      <w:rPr>
        <w:rFonts w:ascii="Arial" w:hAnsi="Arial" w:hint="default"/>
      </w:rPr>
    </w:lvl>
    <w:lvl w:ilvl="1" w:tplc="DEA03F3C" w:tentative="1">
      <w:start w:val="1"/>
      <w:numFmt w:val="bullet"/>
      <w:lvlText w:val="•"/>
      <w:lvlJc w:val="left"/>
      <w:pPr>
        <w:tabs>
          <w:tab w:val="num" w:pos="1440"/>
        </w:tabs>
        <w:ind w:left="1440" w:hanging="360"/>
      </w:pPr>
      <w:rPr>
        <w:rFonts w:ascii="Arial" w:hAnsi="Arial" w:hint="default"/>
      </w:rPr>
    </w:lvl>
    <w:lvl w:ilvl="2" w:tplc="4BD69F54" w:tentative="1">
      <w:start w:val="1"/>
      <w:numFmt w:val="bullet"/>
      <w:lvlText w:val="•"/>
      <w:lvlJc w:val="left"/>
      <w:pPr>
        <w:tabs>
          <w:tab w:val="num" w:pos="2160"/>
        </w:tabs>
        <w:ind w:left="2160" w:hanging="360"/>
      </w:pPr>
      <w:rPr>
        <w:rFonts w:ascii="Arial" w:hAnsi="Arial" w:hint="default"/>
      </w:rPr>
    </w:lvl>
    <w:lvl w:ilvl="3" w:tplc="ED08EAE0" w:tentative="1">
      <w:start w:val="1"/>
      <w:numFmt w:val="bullet"/>
      <w:lvlText w:val="•"/>
      <w:lvlJc w:val="left"/>
      <w:pPr>
        <w:tabs>
          <w:tab w:val="num" w:pos="2880"/>
        </w:tabs>
        <w:ind w:left="2880" w:hanging="360"/>
      </w:pPr>
      <w:rPr>
        <w:rFonts w:ascii="Arial" w:hAnsi="Arial" w:hint="default"/>
      </w:rPr>
    </w:lvl>
    <w:lvl w:ilvl="4" w:tplc="51DCB888" w:tentative="1">
      <w:start w:val="1"/>
      <w:numFmt w:val="bullet"/>
      <w:lvlText w:val="•"/>
      <w:lvlJc w:val="left"/>
      <w:pPr>
        <w:tabs>
          <w:tab w:val="num" w:pos="3600"/>
        </w:tabs>
        <w:ind w:left="3600" w:hanging="360"/>
      </w:pPr>
      <w:rPr>
        <w:rFonts w:ascii="Arial" w:hAnsi="Arial" w:hint="default"/>
      </w:rPr>
    </w:lvl>
    <w:lvl w:ilvl="5" w:tplc="CF544296" w:tentative="1">
      <w:start w:val="1"/>
      <w:numFmt w:val="bullet"/>
      <w:lvlText w:val="•"/>
      <w:lvlJc w:val="left"/>
      <w:pPr>
        <w:tabs>
          <w:tab w:val="num" w:pos="4320"/>
        </w:tabs>
        <w:ind w:left="4320" w:hanging="360"/>
      </w:pPr>
      <w:rPr>
        <w:rFonts w:ascii="Arial" w:hAnsi="Arial" w:hint="default"/>
      </w:rPr>
    </w:lvl>
    <w:lvl w:ilvl="6" w:tplc="EF8A0A16" w:tentative="1">
      <w:start w:val="1"/>
      <w:numFmt w:val="bullet"/>
      <w:lvlText w:val="•"/>
      <w:lvlJc w:val="left"/>
      <w:pPr>
        <w:tabs>
          <w:tab w:val="num" w:pos="5040"/>
        </w:tabs>
        <w:ind w:left="5040" w:hanging="360"/>
      </w:pPr>
      <w:rPr>
        <w:rFonts w:ascii="Arial" w:hAnsi="Arial" w:hint="default"/>
      </w:rPr>
    </w:lvl>
    <w:lvl w:ilvl="7" w:tplc="5AF86E20" w:tentative="1">
      <w:start w:val="1"/>
      <w:numFmt w:val="bullet"/>
      <w:lvlText w:val="•"/>
      <w:lvlJc w:val="left"/>
      <w:pPr>
        <w:tabs>
          <w:tab w:val="num" w:pos="5760"/>
        </w:tabs>
        <w:ind w:left="5760" w:hanging="360"/>
      </w:pPr>
      <w:rPr>
        <w:rFonts w:ascii="Arial" w:hAnsi="Arial" w:hint="default"/>
      </w:rPr>
    </w:lvl>
    <w:lvl w:ilvl="8" w:tplc="29E0EB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1"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2"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3"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7"/>
  </w:num>
  <w:num w:numId="2">
    <w:abstractNumId w:val="5"/>
  </w:num>
  <w:num w:numId="3">
    <w:abstractNumId w:val="12"/>
  </w:num>
  <w:num w:numId="4">
    <w:abstractNumId w:val="3"/>
  </w:num>
  <w:num w:numId="5">
    <w:abstractNumId w:val="2"/>
  </w:num>
  <w:num w:numId="6">
    <w:abstractNumId w:val="1"/>
  </w:num>
  <w:num w:numId="7">
    <w:abstractNumId w:val="0"/>
  </w:num>
  <w:num w:numId="8">
    <w:abstractNumId w:val="11"/>
  </w:num>
  <w:num w:numId="9">
    <w:abstractNumId w:val="6"/>
  </w:num>
  <w:num w:numId="10">
    <w:abstractNumId w:val="13"/>
  </w:num>
  <w:num w:numId="11">
    <w:abstractNumId w:val="12"/>
  </w:num>
  <w:num w:numId="12">
    <w:abstractNumId w:val="12"/>
  </w:num>
  <w:num w:numId="13">
    <w:abstractNumId w:val="12"/>
  </w:num>
  <w:num w:numId="14">
    <w:abstractNumId w:val="12"/>
  </w:num>
  <w:num w:numId="15">
    <w:abstractNumId w:val="12"/>
  </w:num>
  <w:num w:numId="16">
    <w:abstractNumId w:val="7"/>
  </w:num>
  <w:num w:numId="17">
    <w:abstractNumId w:val="13"/>
  </w:num>
  <w:num w:numId="18">
    <w:abstractNumId w:val="13"/>
  </w:num>
  <w:num w:numId="19">
    <w:abstractNumId w:val="13"/>
  </w:num>
  <w:num w:numId="20">
    <w:abstractNumId w:val="13"/>
  </w:num>
  <w:num w:numId="21">
    <w:abstractNumId w:val="13"/>
  </w:num>
  <w:num w:numId="22">
    <w:abstractNumId w:val="5"/>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0"/>
  </w:num>
  <w:num w:numId="33">
    <w:abstractNumId w:val="4"/>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51F1D"/>
    <w:rsid w:val="00054517"/>
    <w:rsid w:val="00056DB6"/>
    <w:rsid w:val="000706A2"/>
    <w:rsid w:val="00077BFF"/>
    <w:rsid w:val="000A70ED"/>
    <w:rsid w:val="000B7CEC"/>
    <w:rsid w:val="000C49F7"/>
    <w:rsid w:val="000C511A"/>
    <w:rsid w:val="000C534C"/>
    <w:rsid w:val="000D1507"/>
    <w:rsid w:val="000E431A"/>
    <w:rsid w:val="000F62AD"/>
    <w:rsid w:val="00116A26"/>
    <w:rsid w:val="0012268F"/>
    <w:rsid w:val="00133BCF"/>
    <w:rsid w:val="00163241"/>
    <w:rsid w:val="0016411F"/>
    <w:rsid w:val="0016774E"/>
    <w:rsid w:val="001807EE"/>
    <w:rsid w:val="00182744"/>
    <w:rsid w:val="001A6147"/>
    <w:rsid w:val="001B5BAA"/>
    <w:rsid w:val="001B747C"/>
    <w:rsid w:val="001C394D"/>
    <w:rsid w:val="001E5ABB"/>
    <w:rsid w:val="001F5D76"/>
    <w:rsid w:val="00204EAE"/>
    <w:rsid w:val="0021638F"/>
    <w:rsid w:val="002175CB"/>
    <w:rsid w:val="0022027F"/>
    <w:rsid w:val="00262470"/>
    <w:rsid w:val="00265400"/>
    <w:rsid w:val="0027081D"/>
    <w:rsid w:val="00282128"/>
    <w:rsid w:val="002A5D4F"/>
    <w:rsid w:val="002B77B3"/>
    <w:rsid w:val="002C05E4"/>
    <w:rsid w:val="002E1AB6"/>
    <w:rsid w:val="002E3557"/>
    <w:rsid w:val="00317AD1"/>
    <w:rsid w:val="00324066"/>
    <w:rsid w:val="00324789"/>
    <w:rsid w:val="00324B88"/>
    <w:rsid w:val="00356744"/>
    <w:rsid w:val="003603A1"/>
    <w:rsid w:val="00382047"/>
    <w:rsid w:val="00386CEE"/>
    <w:rsid w:val="003929BD"/>
    <w:rsid w:val="003A0BCE"/>
    <w:rsid w:val="003B7A63"/>
    <w:rsid w:val="003C27FE"/>
    <w:rsid w:val="003D1D5D"/>
    <w:rsid w:val="004027A4"/>
    <w:rsid w:val="00407116"/>
    <w:rsid w:val="00413B84"/>
    <w:rsid w:val="0041506E"/>
    <w:rsid w:val="004158D7"/>
    <w:rsid w:val="00432025"/>
    <w:rsid w:val="00432594"/>
    <w:rsid w:val="00451F82"/>
    <w:rsid w:val="00453792"/>
    <w:rsid w:val="004628E4"/>
    <w:rsid w:val="004676E1"/>
    <w:rsid w:val="00470F72"/>
    <w:rsid w:val="004B1583"/>
    <w:rsid w:val="004B210E"/>
    <w:rsid w:val="004B5DBB"/>
    <w:rsid w:val="004E33CC"/>
    <w:rsid w:val="004E6239"/>
    <w:rsid w:val="00522321"/>
    <w:rsid w:val="00524C68"/>
    <w:rsid w:val="00533745"/>
    <w:rsid w:val="0055123F"/>
    <w:rsid w:val="00563C4E"/>
    <w:rsid w:val="0057450D"/>
    <w:rsid w:val="00581FA3"/>
    <w:rsid w:val="00584EAD"/>
    <w:rsid w:val="00585BB7"/>
    <w:rsid w:val="005865F5"/>
    <w:rsid w:val="005A1925"/>
    <w:rsid w:val="005A281B"/>
    <w:rsid w:val="005B1FCC"/>
    <w:rsid w:val="005E1ABB"/>
    <w:rsid w:val="005E5705"/>
    <w:rsid w:val="005F3C60"/>
    <w:rsid w:val="005F53EE"/>
    <w:rsid w:val="00614D7E"/>
    <w:rsid w:val="0063340E"/>
    <w:rsid w:val="00647A4F"/>
    <w:rsid w:val="00673988"/>
    <w:rsid w:val="00677B21"/>
    <w:rsid w:val="006829DB"/>
    <w:rsid w:val="00697DB1"/>
    <w:rsid w:val="006B2D44"/>
    <w:rsid w:val="006C637E"/>
    <w:rsid w:val="006E3618"/>
    <w:rsid w:val="006F47C7"/>
    <w:rsid w:val="00704DFC"/>
    <w:rsid w:val="007152CC"/>
    <w:rsid w:val="00722296"/>
    <w:rsid w:val="007334F4"/>
    <w:rsid w:val="00733B90"/>
    <w:rsid w:val="0074617A"/>
    <w:rsid w:val="0075319B"/>
    <w:rsid w:val="00753E7D"/>
    <w:rsid w:val="00781882"/>
    <w:rsid w:val="00787DD5"/>
    <w:rsid w:val="007A0146"/>
    <w:rsid w:val="007A1916"/>
    <w:rsid w:val="007C5289"/>
    <w:rsid w:val="007C5C86"/>
    <w:rsid w:val="007D0BC7"/>
    <w:rsid w:val="007E2163"/>
    <w:rsid w:val="007E23ED"/>
    <w:rsid w:val="007F034C"/>
    <w:rsid w:val="00854099"/>
    <w:rsid w:val="00866F90"/>
    <w:rsid w:val="00886F29"/>
    <w:rsid w:val="008A14C6"/>
    <w:rsid w:val="008B6066"/>
    <w:rsid w:val="008C2BC0"/>
    <w:rsid w:val="008C5FFE"/>
    <w:rsid w:val="008C6097"/>
    <w:rsid w:val="009229D0"/>
    <w:rsid w:val="00953661"/>
    <w:rsid w:val="00975E61"/>
    <w:rsid w:val="009870F4"/>
    <w:rsid w:val="009B10BB"/>
    <w:rsid w:val="009C461C"/>
    <w:rsid w:val="009D06B5"/>
    <w:rsid w:val="009E29CD"/>
    <w:rsid w:val="009E7CEF"/>
    <w:rsid w:val="00A10D03"/>
    <w:rsid w:val="00A112E7"/>
    <w:rsid w:val="00A15613"/>
    <w:rsid w:val="00A207E9"/>
    <w:rsid w:val="00A241F4"/>
    <w:rsid w:val="00A330C0"/>
    <w:rsid w:val="00A37572"/>
    <w:rsid w:val="00A44634"/>
    <w:rsid w:val="00A5372F"/>
    <w:rsid w:val="00A561D4"/>
    <w:rsid w:val="00A601FE"/>
    <w:rsid w:val="00A60D90"/>
    <w:rsid w:val="00A669E1"/>
    <w:rsid w:val="00A670BE"/>
    <w:rsid w:val="00A77974"/>
    <w:rsid w:val="00A86E07"/>
    <w:rsid w:val="00A94015"/>
    <w:rsid w:val="00A95799"/>
    <w:rsid w:val="00AA6529"/>
    <w:rsid w:val="00AA6E8F"/>
    <w:rsid w:val="00AD1C4B"/>
    <w:rsid w:val="00AF4C5F"/>
    <w:rsid w:val="00B06C8C"/>
    <w:rsid w:val="00B4385D"/>
    <w:rsid w:val="00B51FA3"/>
    <w:rsid w:val="00B622F0"/>
    <w:rsid w:val="00B66B5F"/>
    <w:rsid w:val="00BA3329"/>
    <w:rsid w:val="00BC4F56"/>
    <w:rsid w:val="00BD7EEE"/>
    <w:rsid w:val="00BF5D04"/>
    <w:rsid w:val="00BF6AC1"/>
    <w:rsid w:val="00C0462C"/>
    <w:rsid w:val="00C06B94"/>
    <w:rsid w:val="00C1069D"/>
    <w:rsid w:val="00C275C9"/>
    <w:rsid w:val="00C66DA1"/>
    <w:rsid w:val="00C905B6"/>
    <w:rsid w:val="00C97C18"/>
    <w:rsid w:val="00CC57C9"/>
    <w:rsid w:val="00CD0A11"/>
    <w:rsid w:val="00CD4F3C"/>
    <w:rsid w:val="00CE1F7E"/>
    <w:rsid w:val="00CE56BD"/>
    <w:rsid w:val="00CE7598"/>
    <w:rsid w:val="00D05BF0"/>
    <w:rsid w:val="00D23C2E"/>
    <w:rsid w:val="00D37C08"/>
    <w:rsid w:val="00D430A8"/>
    <w:rsid w:val="00D52424"/>
    <w:rsid w:val="00D66283"/>
    <w:rsid w:val="00D70659"/>
    <w:rsid w:val="00D80630"/>
    <w:rsid w:val="00D87652"/>
    <w:rsid w:val="00D95359"/>
    <w:rsid w:val="00DA7970"/>
    <w:rsid w:val="00DC532B"/>
    <w:rsid w:val="00DC7376"/>
    <w:rsid w:val="00DD406D"/>
    <w:rsid w:val="00DF560B"/>
    <w:rsid w:val="00E1738C"/>
    <w:rsid w:val="00E30EBC"/>
    <w:rsid w:val="00E52883"/>
    <w:rsid w:val="00E75308"/>
    <w:rsid w:val="00E7632B"/>
    <w:rsid w:val="00E855BB"/>
    <w:rsid w:val="00E92EF2"/>
    <w:rsid w:val="00E9379C"/>
    <w:rsid w:val="00E95EC4"/>
    <w:rsid w:val="00EA1A60"/>
    <w:rsid w:val="00EA4506"/>
    <w:rsid w:val="00EC73CA"/>
    <w:rsid w:val="00F01893"/>
    <w:rsid w:val="00F16843"/>
    <w:rsid w:val="00F43876"/>
    <w:rsid w:val="00F53973"/>
    <w:rsid w:val="00F5748A"/>
    <w:rsid w:val="00F63846"/>
    <w:rsid w:val="00F72EBD"/>
    <w:rsid w:val="00F82B5C"/>
    <w:rsid w:val="00F84F59"/>
    <w:rsid w:val="00F9631F"/>
    <w:rsid w:val="00FA2046"/>
    <w:rsid w:val="00FA5ACD"/>
    <w:rsid w:val="00FB2412"/>
    <w:rsid w:val="00FB2E09"/>
    <w:rsid w:val="00FB38C5"/>
    <w:rsid w:val="00FB7156"/>
    <w:rsid w:val="00FC73CA"/>
    <w:rsid w:val="00FE52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919C7-2613-4631-9C12-2C492B26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semiHidden/>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character" w:styleId="SchwacheHervorhebung">
    <w:name w:val="Subtle Emphasis"/>
    <w:uiPriority w:val="19"/>
    <w:qFormat/>
    <w:rsid w:val="00054517"/>
    <w:rPr>
      <w:rFonts w:cs="Times New Roman"/>
      <w:i/>
      <w:iCs/>
      <w:color w:val="auto"/>
    </w:rPr>
  </w:style>
  <w:style w:type="character" w:styleId="Hervorhebung">
    <w:name w:val="Emphasis"/>
    <w:uiPriority w:val="11"/>
    <w:qFormat/>
    <w:rsid w:val="00054517"/>
    <w:rPr>
      <w:rFonts w:ascii="Arial" w:hAnsi="Arial" w:cs="Times New Roman"/>
      <w:b/>
      <w:iCs/>
      <w:sz w:val="20"/>
    </w:rPr>
  </w:style>
  <w:style w:type="table" w:customStyle="1" w:styleId="KBTabelle">
    <w:name w:val="K&amp;B_Tabelle"/>
    <w:basedOn w:val="NormaleTabelle"/>
    <w:uiPriority w:val="99"/>
    <w:rsid w:val="00054517"/>
    <w:pPr>
      <w:spacing w:after="0" w:line="270" w:lineRule="atLeast"/>
    </w:pPr>
    <w:rPr>
      <w:rFonts w:ascii="Arial" w:eastAsia="Times New Roman" w:hAnsi="Arial" w:cs="Times New Roman"/>
      <w:sz w:val="20"/>
      <w:szCs w:val="20"/>
      <w:lang w:eastAsia="de-DE"/>
    </w:rPr>
    <w:tblPr>
      <w:tblBorders>
        <w:insideH w:val="single" w:sz="4" w:space="0" w:color="0A0A0A"/>
        <w:insideV w:val="single" w:sz="36" w:space="0" w:color="FFFFFF"/>
      </w:tblBorders>
      <w:tblCellMar>
        <w:top w:w="57" w:type="dxa"/>
        <w:left w:w="0" w:type="dxa"/>
        <w:bottom w:w="85" w:type="dxa"/>
        <w:right w:w="113" w:type="dxa"/>
      </w:tblCellMar>
    </w:tblPr>
    <w:tblStylePr w:type="firstRow">
      <w:rPr>
        <w:rFonts w:cs="Times New Roman"/>
        <w:b w:val="0"/>
        <w:color w:val="002355"/>
      </w:rPr>
      <w:tblPr/>
      <w:tcPr>
        <w:tcBorders>
          <w:bottom w:val="single" w:sz="8" w:space="0" w:color="F02D32"/>
          <w:insideH w:val="nil"/>
        </w:tcBorders>
      </w:tcPr>
    </w:tblStylePr>
  </w:style>
  <w:style w:type="paragraph" w:customStyle="1" w:styleId="TabelleninhaltZahlen">
    <w:name w:val="Tabelleninhalt Zahlen"/>
    <w:basedOn w:val="Standard"/>
    <w:link w:val="TabelleninhaltZahlenZchn"/>
    <w:uiPriority w:val="19"/>
    <w:qFormat/>
    <w:rsid w:val="00054517"/>
    <w:pPr>
      <w:tabs>
        <w:tab w:val="left" w:pos="340"/>
        <w:tab w:val="left" w:pos="680"/>
        <w:tab w:val="left" w:pos="851"/>
        <w:tab w:val="left" w:pos="1021"/>
        <w:tab w:val="left" w:pos="1531"/>
        <w:tab w:val="left" w:pos="4536"/>
        <w:tab w:val="right" w:pos="9072"/>
      </w:tabs>
      <w:spacing w:afterLines="0" w:after="0" w:line="270" w:lineRule="atLeast"/>
      <w:jc w:val="right"/>
    </w:pPr>
    <w:rPr>
      <w:rFonts w:ascii="Arial" w:eastAsia="Times New Roman" w:hAnsi="Arial" w:cs="Times New Roman"/>
      <w:color w:val="0A0A0A"/>
      <w:szCs w:val="20"/>
    </w:rPr>
  </w:style>
  <w:style w:type="character" w:customStyle="1" w:styleId="TabelleninhaltZahlenZchn">
    <w:name w:val="Tabelleninhalt Zahlen Zchn"/>
    <w:link w:val="TabelleninhaltZahlen"/>
    <w:uiPriority w:val="19"/>
    <w:locked/>
    <w:rsid w:val="00054517"/>
    <w:rPr>
      <w:rFonts w:ascii="Arial" w:eastAsia="Times New Roman" w:hAnsi="Arial" w:cs="Times New Roman"/>
      <w:color w:val="0A0A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3286">
      <w:bodyDiv w:val="1"/>
      <w:marLeft w:val="0"/>
      <w:marRight w:val="0"/>
      <w:marTop w:val="0"/>
      <w:marBottom w:val="0"/>
      <w:divBdr>
        <w:top w:val="none" w:sz="0" w:space="0" w:color="auto"/>
        <w:left w:val="none" w:sz="0" w:space="0" w:color="auto"/>
        <w:bottom w:val="none" w:sz="0" w:space="0" w:color="auto"/>
        <w:right w:val="none" w:sz="0" w:space="0" w:color="auto"/>
      </w:divBdr>
      <w:divsChild>
        <w:div w:id="1978534743">
          <w:marLeft w:val="36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rnd.heusinger@koenig-baue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DCA7-381E-42C4-8821-A2978DEA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1591</Words>
  <Characters>10030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Koenig &amp; Bauer kommt bei strategischen Projekten für nachhaltiges profitables Wachstum gut voran</vt:lpstr>
    </vt:vector>
  </TitlesOfParts>
  <Company>Koenig &amp; Bauer</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Koenig &amp; Bauer bestätigt Konzernziele 2019</dc:title>
  <dc:creator>Bausenwein, Linda (ZM)</dc:creator>
  <dc:description>Optimiert für Word 2016</dc:description>
  <cp:lastModifiedBy>Heusinger, Bernd (ZMV)</cp:lastModifiedBy>
  <cp:revision>9</cp:revision>
  <cp:lastPrinted>2019-04-30T11:21:00Z</cp:lastPrinted>
  <dcterms:created xsi:type="dcterms:W3CDTF">2019-07-29T11:55:00Z</dcterms:created>
  <dcterms:modified xsi:type="dcterms:W3CDTF">2019-07-31T05:16:00Z</dcterms:modified>
</cp:coreProperties>
</file>