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6F188D" w:rsidP="006F188D">
      <w:pPr>
        <w:pStyle w:val="berschrift2"/>
        <w:ind w:right="1557"/>
      </w:pPr>
      <w:r w:rsidRPr="006F188D">
        <w:rPr>
          <w:szCs w:val="28"/>
        </w:rPr>
        <w:t>Koenig &amp; Bauer veröffentlicht Geschäftsbericht 2019: Auf Zukunftskurs</w:t>
      </w:r>
    </w:p>
    <w:p w:rsidR="00BC4F56" w:rsidRPr="00BC4F56" w:rsidRDefault="00BC4F56" w:rsidP="00BC4F56">
      <w:pPr>
        <w:spacing w:after="240"/>
      </w:pPr>
    </w:p>
    <w:p w:rsidR="00BC4F56" w:rsidRPr="00BC4F56" w:rsidRDefault="006F188D" w:rsidP="006F188D">
      <w:pPr>
        <w:pStyle w:val="Untertitel"/>
        <w:spacing w:after="240"/>
        <w:ind w:right="2266"/>
        <w:rPr>
          <w:sz w:val="24"/>
          <w:szCs w:val="24"/>
        </w:rPr>
      </w:pPr>
      <w:r w:rsidRPr="006F188D">
        <w:rPr>
          <w:sz w:val="24"/>
          <w:szCs w:val="24"/>
        </w:rPr>
        <w:t xml:space="preserve">Effizienzprogramm Performance 2024 zur operativen </w:t>
      </w:r>
      <w:r w:rsidR="00CD5277">
        <w:rPr>
          <w:sz w:val="24"/>
          <w:szCs w:val="24"/>
        </w:rPr>
        <w:t>Margen</w:t>
      </w:r>
      <w:r w:rsidRPr="006F188D">
        <w:rPr>
          <w:sz w:val="24"/>
          <w:szCs w:val="24"/>
        </w:rPr>
        <w:t>verbesserung gestartet</w:t>
      </w:r>
    </w:p>
    <w:p w:rsidR="00DA26EA" w:rsidRPr="00DA26EA" w:rsidRDefault="00A409A8" w:rsidP="00A409A8">
      <w:pPr>
        <w:pStyle w:val="Aufzhlung"/>
        <w:spacing w:after="240"/>
        <w:ind w:right="1132"/>
      </w:pPr>
      <w:r>
        <w:rPr>
          <w:rFonts w:ascii="Arial" w:hAnsi="Arial" w:cs="Arial"/>
          <w:szCs w:val="20"/>
        </w:rPr>
        <w:t>Umgang mit möglichen Konsequenzen aus der Corona-Krise hat derzeit allerhöchste Priorität, professionelle Projektorganisation bereits etabliert</w:t>
      </w:r>
      <w:bookmarkStart w:id="0" w:name="_GoBack"/>
      <w:bookmarkEnd w:id="0"/>
    </w:p>
    <w:p w:rsidR="00A44634" w:rsidRDefault="006A7C35" w:rsidP="006A7C35">
      <w:pPr>
        <w:pStyle w:val="Aufzhlung"/>
        <w:spacing w:after="240"/>
      </w:pPr>
      <w:r>
        <w:t>Guter Auftragseingang im Q4</w:t>
      </w:r>
      <w:r w:rsidR="00B92DC7">
        <w:t xml:space="preserve"> 2019</w:t>
      </w:r>
      <w:r>
        <w:t xml:space="preserve">, </w:t>
      </w:r>
      <w:r w:rsidR="002C2D02" w:rsidRPr="006A7C35">
        <w:t xml:space="preserve">obwohl im Wertpapier- und Blechdruck </w:t>
      </w:r>
      <w:r>
        <w:br/>
      </w:r>
      <w:r w:rsidR="002C2D02" w:rsidRPr="006A7C35">
        <w:t>nicht alle erwarteten Aufträge erteilt wurden</w:t>
      </w:r>
    </w:p>
    <w:p w:rsidR="006A7C35" w:rsidRDefault="006A7C35" w:rsidP="002E0BB7">
      <w:pPr>
        <w:pStyle w:val="Aufzhlung"/>
        <w:spacing w:after="240"/>
      </w:pPr>
      <w:r w:rsidRPr="006A7C35">
        <w:t xml:space="preserve">Strategisch wichtige Folgeaufträge </w:t>
      </w:r>
      <w:r>
        <w:t xml:space="preserve">im digitalen Dekor- und Wellpappendruck </w:t>
      </w:r>
      <w:r>
        <w:br/>
      </w:r>
      <w:r w:rsidRPr="006A7C35">
        <w:t>na</w:t>
      </w:r>
      <w:r>
        <w:t xml:space="preserve">ch Geschäftsjahresende </w:t>
      </w:r>
      <w:r w:rsidR="00430F64">
        <w:t xml:space="preserve">2019 </w:t>
      </w:r>
      <w:r>
        <w:t>erhalten</w:t>
      </w:r>
    </w:p>
    <w:p w:rsidR="00A44634" w:rsidRDefault="00A44634" w:rsidP="002E0BB7">
      <w:pPr>
        <w:pStyle w:val="Aufzhlung"/>
        <w:spacing w:after="240"/>
      </w:pPr>
      <w:r>
        <w:t xml:space="preserve">Umsatz </w:t>
      </w:r>
      <w:r w:rsidR="000C49F7">
        <w:t>201</w:t>
      </w:r>
      <w:r w:rsidR="006A7C35">
        <w:t>9</w:t>
      </w:r>
      <w:r w:rsidR="000C49F7">
        <w:t xml:space="preserve"> </w:t>
      </w:r>
      <w:r w:rsidR="006A7C35">
        <w:t>auf Vorjahresniveau</w:t>
      </w:r>
    </w:p>
    <w:p w:rsidR="003845EF" w:rsidRDefault="002C2D02" w:rsidP="003845EF">
      <w:pPr>
        <w:pStyle w:val="Aufzhlung"/>
        <w:spacing w:after="240"/>
      </w:pPr>
      <w:r w:rsidRPr="003845EF">
        <w:t>EBIT-Marge von 4,6 % unter der Zielgröße durch verschiedene Sondereinflüsse</w:t>
      </w:r>
    </w:p>
    <w:p w:rsidR="00A44634" w:rsidRDefault="003845EF" w:rsidP="00A44634">
      <w:pPr>
        <w:pStyle w:val="Aufzhlung"/>
        <w:spacing w:after="240"/>
      </w:pPr>
      <w:r>
        <w:t>Deutliche Cashflow-Verbesserung im Q4</w:t>
      </w:r>
    </w:p>
    <w:p w:rsidR="00A44634" w:rsidRDefault="00A44634" w:rsidP="00A44634">
      <w:pPr>
        <w:pStyle w:val="Aufzhlung"/>
        <w:spacing w:after="240"/>
      </w:pPr>
      <w:r>
        <w:t>3</w:t>
      </w:r>
      <w:r w:rsidR="003845EF">
        <w:t>4</w:t>
      </w:r>
      <w:r>
        <w:t>,</w:t>
      </w:r>
      <w:r w:rsidR="003845EF">
        <w:t>3</w:t>
      </w:r>
      <w:r>
        <w:t xml:space="preserve"> % Eigenkapitalquote</w:t>
      </w:r>
    </w:p>
    <w:p w:rsidR="00A44634" w:rsidRPr="008619F3" w:rsidRDefault="008619F3" w:rsidP="008619F3">
      <w:pPr>
        <w:pStyle w:val="Aufzhlung"/>
        <w:spacing w:after="240"/>
        <w:ind w:right="1415"/>
        <w:rPr>
          <w:szCs w:val="20"/>
        </w:rPr>
      </w:pPr>
      <w:r w:rsidRPr="008619F3">
        <w:rPr>
          <w:szCs w:val="20"/>
        </w:rPr>
        <w:t>Aussetzen der Dividendenzahlung für 2019 i</w:t>
      </w:r>
      <w:r w:rsidRPr="008619F3">
        <w:rPr>
          <w:rFonts w:ascii="Arial" w:hAnsi="Arial" w:cs="Arial"/>
          <w:color w:val="222222"/>
          <w:szCs w:val="20"/>
          <w:shd w:val="clear" w:color="auto" w:fill="FFFFFF"/>
        </w:rPr>
        <w:t>n Anbetracht der deutlich gestiegenen Unsicherheiten durch die Corona-Krise</w:t>
      </w:r>
    </w:p>
    <w:p w:rsidR="00584EAD" w:rsidRPr="00A44634" w:rsidRDefault="00915E8A" w:rsidP="00CD5277">
      <w:pPr>
        <w:pStyle w:val="Aufzhlung"/>
        <w:spacing w:after="240"/>
        <w:ind w:right="1273"/>
      </w:pPr>
      <w:r>
        <w:t>Auswirkungen de</w:t>
      </w:r>
      <w:r w:rsidR="00913C29">
        <w:t>r</w:t>
      </w:r>
      <w:r>
        <w:t xml:space="preserve"> Corona-</w:t>
      </w:r>
      <w:r w:rsidR="00913C29">
        <w:t>Krise</w:t>
      </w:r>
      <w:r>
        <w:t xml:space="preserve"> </w:t>
      </w:r>
      <w:r w:rsidR="006F188D">
        <w:t>auf</w:t>
      </w:r>
      <w:r>
        <w:t xml:space="preserve"> </w:t>
      </w:r>
      <w:r w:rsidR="00CD5277">
        <w:t xml:space="preserve">Geschäftsentwicklung </w:t>
      </w:r>
      <w:r w:rsidR="00975E61">
        <w:t>20</w:t>
      </w:r>
      <w:r w:rsidR="00DA26EA">
        <w:t>20</w:t>
      </w:r>
      <w:r>
        <w:t xml:space="preserve"> </w:t>
      </w:r>
      <w:r w:rsidR="006F188D">
        <w:t>derzeit vollkommen offen</w:t>
      </w:r>
    </w:p>
    <w:p w:rsidR="00B12E5B" w:rsidRPr="00F9022B" w:rsidRDefault="00A44634" w:rsidP="00A44634">
      <w:pPr>
        <w:spacing w:after="240"/>
        <w:rPr>
          <w:rFonts w:ascii="Arial" w:hAnsi="Arial" w:cs="Arial"/>
          <w:bCs/>
          <w:szCs w:val="20"/>
        </w:rPr>
      </w:pPr>
      <w:r>
        <w:t>Würzburg</w:t>
      </w:r>
      <w:r w:rsidR="00584EAD" w:rsidRPr="00A44634">
        <w:t xml:space="preserve">, </w:t>
      </w:r>
      <w:r w:rsidR="00C17496">
        <w:t>19. März 2020</w:t>
      </w:r>
      <w:r w:rsidR="00584EAD" w:rsidRPr="00A44634">
        <w:br/>
      </w:r>
      <w:r w:rsidR="00B12E5B" w:rsidRPr="00F9022B">
        <w:rPr>
          <w:rFonts w:ascii="Arial" w:hAnsi="Arial" w:cs="Arial"/>
          <w:color w:val="000000"/>
          <w:szCs w:val="20"/>
        </w:rPr>
        <w:t xml:space="preserve">Koenig &amp; Bauer ist mit der strategischen Fokussierung auf den Wachstumsmarkt Verpackung auf Kurs, um durch Umsatz- und Ergebniszuwächse in diesem Bereich die Abhängigkeit vom politisch volatilen und von Großprojekten dominierten Wertpapierdruck zu reduzieren. </w:t>
      </w:r>
      <w:r w:rsidR="00B12E5B" w:rsidRPr="00F9022B">
        <w:rPr>
          <w:rFonts w:ascii="Arial" w:hAnsi="Arial" w:cs="Arial"/>
          <w:szCs w:val="20"/>
        </w:rPr>
        <w:t>Durch die Akquisitionen von Iberica und Duran, das Joint Venture mit Durst sowie verschiedene Partnerschaften im Software-Bereich wurde das Portfolio für Verpackungsdruckmärkte weiter ausgebaut. Nach einer Erprobung</w:t>
      </w:r>
      <w:r w:rsidR="00B12E5B" w:rsidRPr="00F9022B">
        <w:rPr>
          <w:rFonts w:ascii="Arial" w:hAnsi="Arial" w:cs="Arial"/>
          <w:szCs w:val="20"/>
        </w:rPr>
        <w:t>s</w:t>
      </w:r>
      <w:r w:rsidR="00B12E5B" w:rsidRPr="00F9022B">
        <w:rPr>
          <w:rFonts w:ascii="Arial" w:hAnsi="Arial" w:cs="Arial"/>
          <w:szCs w:val="20"/>
        </w:rPr>
        <w:t>phase der neu entwickelten Bogen-Flexomaschine CorruCUT für den analogen Direktdruck auf Wel</w:t>
      </w:r>
      <w:r w:rsidR="00B12E5B" w:rsidRPr="00F9022B">
        <w:rPr>
          <w:rFonts w:ascii="Arial" w:hAnsi="Arial" w:cs="Arial"/>
          <w:szCs w:val="20"/>
        </w:rPr>
        <w:t>l</w:t>
      </w:r>
      <w:r w:rsidR="00B12E5B" w:rsidRPr="00F9022B">
        <w:rPr>
          <w:rFonts w:ascii="Arial" w:hAnsi="Arial" w:cs="Arial"/>
          <w:szCs w:val="20"/>
        </w:rPr>
        <w:t xml:space="preserve">pappe nahm der renommierte Pilotkunde und Entwicklungspartner Klingele die Maschine nach einem anspruchsvollen Werkstest ab. Mittlerweile produziert die Anlage zweischichtig im Klingele-Werk in Delmenhorst bei Bremen. </w:t>
      </w:r>
      <w:r w:rsidR="00174743" w:rsidRPr="00F9022B">
        <w:rPr>
          <w:rFonts w:ascii="Arial" w:hAnsi="Arial" w:cs="Arial"/>
          <w:szCs w:val="20"/>
        </w:rPr>
        <w:t xml:space="preserve">Mit der Bestellung einer CorruFLEX durch </w:t>
      </w:r>
      <w:r w:rsidR="00B12E5B" w:rsidRPr="00F9022B">
        <w:rPr>
          <w:rFonts w:ascii="Arial" w:hAnsi="Arial" w:cs="Arial"/>
          <w:szCs w:val="20"/>
        </w:rPr>
        <w:t>Thimm Packaging Systems</w:t>
      </w:r>
      <w:r w:rsidR="00174743" w:rsidRPr="00F9022B">
        <w:rPr>
          <w:rFonts w:ascii="Arial" w:hAnsi="Arial" w:cs="Arial"/>
          <w:szCs w:val="20"/>
        </w:rPr>
        <w:t xml:space="preserve"> e</w:t>
      </w:r>
      <w:r w:rsidR="00174743" w:rsidRPr="00F9022B">
        <w:rPr>
          <w:rFonts w:ascii="Arial" w:hAnsi="Arial" w:cs="Arial"/>
          <w:szCs w:val="20"/>
        </w:rPr>
        <w:t>r</w:t>
      </w:r>
      <w:r w:rsidR="00174743" w:rsidRPr="00F9022B">
        <w:rPr>
          <w:rFonts w:ascii="Arial" w:hAnsi="Arial" w:cs="Arial"/>
          <w:szCs w:val="20"/>
        </w:rPr>
        <w:t>hielt Koenig &amp; Bauer einen strategisch wichtigen Folgeauftrag im Wellpappendruck</w:t>
      </w:r>
      <w:r w:rsidR="00B12E5B" w:rsidRPr="00F9022B">
        <w:rPr>
          <w:rFonts w:ascii="Arial" w:hAnsi="Arial" w:cs="Arial"/>
          <w:szCs w:val="20"/>
        </w:rPr>
        <w:t xml:space="preserve">. </w:t>
      </w:r>
      <w:r w:rsidR="00174743" w:rsidRPr="00F9022B">
        <w:rPr>
          <w:rFonts w:ascii="Arial" w:hAnsi="Arial" w:cs="Arial"/>
          <w:szCs w:val="20"/>
        </w:rPr>
        <w:t>Für den digitalen Dekordruck gab Interprint die dritte RotaJET-Anlage in Auftrag. Mit</w:t>
      </w:r>
      <w:r w:rsidR="00B12E5B" w:rsidRPr="00F9022B">
        <w:rPr>
          <w:rFonts w:ascii="Arial" w:hAnsi="Arial" w:cs="Arial"/>
          <w:szCs w:val="20"/>
        </w:rPr>
        <w:t xml:space="preserve"> dem sechsten Maschinenverkauf für den digitalen Dekordruck und </w:t>
      </w:r>
      <w:r w:rsidR="00B12E5B" w:rsidRPr="00F9022B">
        <w:rPr>
          <w:rFonts w:ascii="Arial" w:hAnsi="Arial" w:cs="Arial"/>
          <w:bCs/>
          <w:szCs w:val="20"/>
        </w:rPr>
        <w:t>dem Schlüsselauftrag von Tetra Pak für den digitalen vollfarbigen Getränkekartondruck</w:t>
      </w:r>
      <w:r w:rsidR="00B12E5B" w:rsidRPr="00F9022B">
        <w:rPr>
          <w:rFonts w:ascii="Arial" w:hAnsi="Arial" w:cs="Arial"/>
          <w:szCs w:val="20"/>
        </w:rPr>
        <w:t xml:space="preserve"> </w:t>
      </w:r>
      <w:r w:rsidR="00174743" w:rsidRPr="00F9022B">
        <w:rPr>
          <w:rFonts w:ascii="Arial" w:hAnsi="Arial" w:cs="Arial"/>
          <w:bCs/>
          <w:szCs w:val="20"/>
        </w:rPr>
        <w:t>ist die</w:t>
      </w:r>
      <w:r w:rsidR="00B12E5B" w:rsidRPr="00F9022B">
        <w:rPr>
          <w:rFonts w:ascii="Arial" w:hAnsi="Arial" w:cs="Arial"/>
          <w:bCs/>
          <w:szCs w:val="20"/>
        </w:rPr>
        <w:t xml:space="preserve"> </w:t>
      </w:r>
      <w:r w:rsidR="00B12E5B" w:rsidRPr="00F9022B">
        <w:rPr>
          <w:rFonts w:ascii="Arial" w:hAnsi="Arial" w:cs="Arial"/>
          <w:szCs w:val="20"/>
        </w:rPr>
        <w:t>RotaJET-Digitaldruckplattform</w:t>
      </w:r>
      <w:r w:rsidR="00B12E5B" w:rsidRPr="00F9022B">
        <w:rPr>
          <w:rFonts w:ascii="Arial" w:hAnsi="Arial" w:cs="Arial"/>
          <w:bCs/>
          <w:szCs w:val="20"/>
        </w:rPr>
        <w:t xml:space="preserve"> </w:t>
      </w:r>
      <w:r w:rsidR="00174743" w:rsidRPr="00F9022B">
        <w:rPr>
          <w:rFonts w:ascii="Arial" w:hAnsi="Arial" w:cs="Arial"/>
          <w:szCs w:val="20"/>
        </w:rPr>
        <w:t>im Markt besonders erfolgreich</w:t>
      </w:r>
      <w:r w:rsidR="00B12E5B" w:rsidRPr="00F9022B">
        <w:rPr>
          <w:rFonts w:ascii="Arial" w:hAnsi="Arial" w:cs="Arial"/>
          <w:bCs/>
          <w:szCs w:val="20"/>
        </w:rPr>
        <w:t>.</w:t>
      </w:r>
      <w:r w:rsidR="00F9022B" w:rsidRPr="00F9022B">
        <w:rPr>
          <w:rFonts w:ascii="Arial" w:hAnsi="Arial" w:cs="Arial"/>
          <w:bCs/>
          <w:szCs w:val="20"/>
        </w:rPr>
        <w:t xml:space="preserve"> Ebenfalls gute Früchte </w:t>
      </w:r>
      <w:r w:rsidR="00F9022B" w:rsidRPr="00F9022B">
        <w:rPr>
          <w:rFonts w:ascii="Arial" w:hAnsi="Arial" w:cs="Arial"/>
          <w:color w:val="000000"/>
          <w:szCs w:val="20"/>
        </w:rPr>
        <w:t xml:space="preserve">trägt die 2016 gestartete Serviceinitiative. </w:t>
      </w:r>
      <w:r w:rsidR="00F9022B" w:rsidRPr="00F9022B">
        <w:rPr>
          <w:rFonts w:ascii="Arial" w:hAnsi="Arial" w:cs="Arial"/>
          <w:szCs w:val="20"/>
        </w:rPr>
        <w:t>Der Service-Umsatzanteil konnte im Koenig &amp; Bauer-Konzern von 25,9 % im Vorjahr auf 28,2 % deutlich ausgebaut</w:t>
      </w:r>
      <w:r w:rsidR="00F9022B">
        <w:rPr>
          <w:rFonts w:ascii="Arial" w:hAnsi="Arial" w:cs="Arial"/>
          <w:szCs w:val="20"/>
        </w:rPr>
        <w:t xml:space="preserve"> werden.</w:t>
      </w:r>
    </w:p>
    <w:p w:rsidR="00F9022B" w:rsidRDefault="00A44634" w:rsidP="00A44634">
      <w:pPr>
        <w:spacing w:after="240"/>
      </w:pPr>
      <w:r w:rsidRPr="00A44634">
        <w:t>CEO Claus Bolza-Schünemann: „</w:t>
      </w:r>
      <w:r w:rsidR="003845EF" w:rsidRPr="003845EF">
        <w:rPr>
          <w:rFonts w:ascii="Arial" w:hAnsi="Arial" w:cs="Arial"/>
          <w:szCs w:val="20"/>
        </w:rPr>
        <w:t>Die von uns adressierten Endmärkte mit dem strukturell wachse</w:t>
      </w:r>
      <w:r w:rsidR="003845EF" w:rsidRPr="003845EF">
        <w:rPr>
          <w:rFonts w:ascii="Arial" w:hAnsi="Arial" w:cs="Arial"/>
          <w:szCs w:val="20"/>
        </w:rPr>
        <w:t>n</w:t>
      </w:r>
      <w:r w:rsidR="003845EF" w:rsidRPr="003845EF">
        <w:rPr>
          <w:rFonts w:ascii="Arial" w:hAnsi="Arial" w:cs="Arial"/>
          <w:szCs w:val="20"/>
        </w:rPr>
        <w:t>den Verpackungs</w:t>
      </w:r>
      <w:r w:rsidR="00F9022B">
        <w:rPr>
          <w:rFonts w:ascii="Arial" w:hAnsi="Arial" w:cs="Arial"/>
          <w:szCs w:val="20"/>
        </w:rPr>
        <w:t>- und Industrie</w:t>
      </w:r>
      <w:r w:rsidR="003845EF" w:rsidRPr="003845EF">
        <w:rPr>
          <w:rFonts w:ascii="Arial" w:hAnsi="Arial" w:cs="Arial"/>
          <w:szCs w:val="20"/>
        </w:rPr>
        <w:t xml:space="preserve">druck sind fundamental intakt. </w:t>
      </w:r>
      <w:r w:rsidR="003845EF" w:rsidRPr="003845EF">
        <w:rPr>
          <w:rFonts w:ascii="Arial" w:hAnsi="Arial" w:cs="Arial"/>
          <w:color w:val="000000"/>
          <w:szCs w:val="20"/>
        </w:rPr>
        <w:t xml:space="preserve">Wachstum setzt allerdings konjunkturell normale Jahre voraus. </w:t>
      </w:r>
      <w:r w:rsidR="00915E8A">
        <w:rPr>
          <w:rFonts w:ascii="Arial" w:hAnsi="Arial" w:cs="Arial"/>
          <w:color w:val="000000"/>
          <w:szCs w:val="20"/>
        </w:rPr>
        <w:t>Angesichts der hohen Veränderungsdynamik in der Industrie und au</w:t>
      </w:r>
      <w:r w:rsidR="003845EF" w:rsidRPr="003845EF">
        <w:rPr>
          <w:rFonts w:ascii="Arial" w:hAnsi="Arial" w:cs="Arial"/>
          <w:color w:val="000000"/>
          <w:szCs w:val="20"/>
        </w:rPr>
        <w:t>fgrund der zunehmenden konjunkturellen Unsicherheiten haben wir beschlossen, zusätzlich erheblich in die R</w:t>
      </w:r>
      <w:r w:rsidR="003845EF" w:rsidRPr="003845EF">
        <w:rPr>
          <w:rFonts w:ascii="Arial" w:hAnsi="Arial" w:cs="Arial"/>
          <w:color w:val="000000"/>
          <w:szCs w:val="20"/>
        </w:rPr>
        <w:t>e</w:t>
      </w:r>
      <w:r w:rsidR="003845EF" w:rsidRPr="003845EF">
        <w:rPr>
          <w:rFonts w:ascii="Arial" w:hAnsi="Arial" w:cs="Arial"/>
          <w:color w:val="000000"/>
          <w:szCs w:val="20"/>
        </w:rPr>
        <w:t>duzierung der Herstellungskosten zu investieren und unsere Kräfte im Konzern stärker zu bündeln.</w:t>
      </w:r>
      <w:r w:rsidR="00915E8A">
        <w:rPr>
          <w:rFonts w:ascii="Arial" w:hAnsi="Arial" w:cs="Arial"/>
          <w:color w:val="000000"/>
          <w:szCs w:val="20"/>
        </w:rPr>
        <w:t xml:space="preserve"> Mit </w:t>
      </w:r>
      <w:r w:rsidR="00915E8A">
        <w:rPr>
          <w:rFonts w:ascii="Arial" w:hAnsi="Arial" w:cs="Arial"/>
          <w:color w:val="000000"/>
          <w:szCs w:val="20"/>
        </w:rPr>
        <w:lastRenderedPageBreak/>
        <w:t>d</w:t>
      </w:r>
      <w:r w:rsidR="003845EF" w:rsidRPr="003845EF">
        <w:rPr>
          <w:rFonts w:ascii="Arial" w:hAnsi="Arial" w:cs="Arial"/>
          <w:color w:val="000000"/>
          <w:szCs w:val="20"/>
        </w:rPr>
        <w:t xml:space="preserve">en Maßnahmen </w:t>
      </w:r>
      <w:r w:rsidR="00F9022B">
        <w:rPr>
          <w:rFonts w:ascii="Arial" w:hAnsi="Arial" w:cs="Arial"/>
          <w:color w:val="000000"/>
          <w:szCs w:val="20"/>
        </w:rPr>
        <w:t xml:space="preserve">des Effizienzprogramms Performance 2024 </w:t>
      </w:r>
      <w:r w:rsidR="003845EF" w:rsidRPr="003845EF">
        <w:rPr>
          <w:rFonts w:ascii="Arial" w:hAnsi="Arial" w:cs="Arial"/>
          <w:color w:val="000000"/>
          <w:szCs w:val="20"/>
        </w:rPr>
        <w:t>wollen wir uns in höherem Maße una</w:t>
      </w:r>
      <w:r w:rsidR="003845EF" w:rsidRPr="003845EF">
        <w:rPr>
          <w:rFonts w:ascii="Arial" w:hAnsi="Arial" w:cs="Arial"/>
          <w:color w:val="000000"/>
          <w:szCs w:val="20"/>
        </w:rPr>
        <w:t>b</w:t>
      </w:r>
      <w:r w:rsidR="003845EF" w:rsidRPr="003845EF">
        <w:rPr>
          <w:rFonts w:ascii="Arial" w:hAnsi="Arial" w:cs="Arial"/>
          <w:color w:val="000000"/>
          <w:szCs w:val="20"/>
        </w:rPr>
        <w:t>hängig von der Konjunktur und wettbewerbsfähiger für die Zukunft aufstellen</w:t>
      </w:r>
      <w:r w:rsidR="003845EF" w:rsidRPr="003845EF">
        <w:rPr>
          <w:rFonts w:ascii="Arial" w:hAnsi="Arial" w:cs="Arial"/>
          <w:szCs w:val="20"/>
        </w:rPr>
        <w:t>.</w:t>
      </w:r>
      <w:r w:rsidRPr="00A44634">
        <w:t>“</w:t>
      </w:r>
    </w:p>
    <w:p w:rsidR="00FE281D" w:rsidRPr="00FE281D" w:rsidRDefault="005552AB" w:rsidP="00A44634">
      <w:pPr>
        <w:spacing w:after="240"/>
        <w:rPr>
          <w:rFonts w:ascii="Arial" w:hAnsi="Arial" w:cs="Arial"/>
          <w:szCs w:val="20"/>
        </w:rPr>
      </w:pPr>
      <w:r w:rsidRPr="005552AB">
        <w:rPr>
          <w:szCs w:val="20"/>
        </w:rPr>
        <w:t xml:space="preserve">Der für das Performance 2024-Programm zuständige Vorstand Dr. Andreas Pleßke erläutert weitere Details: </w:t>
      </w:r>
      <w:r w:rsidR="00FE281D" w:rsidRPr="00FE281D">
        <w:rPr>
          <w:szCs w:val="20"/>
        </w:rPr>
        <w:t>„</w:t>
      </w:r>
      <w:r w:rsidR="00FE281D" w:rsidRPr="00FE281D">
        <w:rPr>
          <w:rFonts w:ascii="Arial" w:hAnsi="Arial" w:cs="Arial"/>
          <w:szCs w:val="20"/>
        </w:rPr>
        <w:t xml:space="preserve">Mit dem Programm Performance 2024 streben wir derzeit eine Kostensenkung von über 70 Mio. € bis 2024 bei </w:t>
      </w:r>
      <w:r w:rsidR="00B92DC7">
        <w:rPr>
          <w:rFonts w:ascii="Arial" w:hAnsi="Arial" w:cs="Arial"/>
          <w:szCs w:val="20"/>
        </w:rPr>
        <w:t>Ein</w:t>
      </w:r>
      <w:r w:rsidR="00FE281D" w:rsidRPr="00FE281D">
        <w:rPr>
          <w:rFonts w:ascii="Arial" w:hAnsi="Arial" w:cs="Arial"/>
          <w:szCs w:val="20"/>
        </w:rPr>
        <w:t>malkosten von 30 bis 40 Mio. €</w:t>
      </w:r>
      <w:r w:rsidR="00B92DC7">
        <w:rPr>
          <w:rFonts w:ascii="Arial" w:hAnsi="Arial" w:cs="Arial"/>
          <w:szCs w:val="20"/>
        </w:rPr>
        <w:t xml:space="preserve"> an</w:t>
      </w:r>
      <w:r w:rsidR="00FE281D" w:rsidRPr="00FE281D">
        <w:rPr>
          <w:rFonts w:ascii="Arial" w:hAnsi="Arial" w:cs="Arial"/>
          <w:szCs w:val="20"/>
        </w:rPr>
        <w:t>. Wir erwarten, dass der Maßnahmenkatalog weiter vergrößert wird. Bei den zahlreichen Projekten zur Optimierung der konzernweiten Strukturen und Prozesse steht die substanzielle Senkung der Herstellungskosten im Fokus, um die Ertragssitu</w:t>
      </w:r>
      <w:r w:rsidR="00FE281D" w:rsidRPr="00FE281D">
        <w:rPr>
          <w:rFonts w:ascii="Arial" w:hAnsi="Arial" w:cs="Arial"/>
          <w:szCs w:val="20"/>
        </w:rPr>
        <w:t>a</w:t>
      </w:r>
      <w:r w:rsidR="00FE281D" w:rsidRPr="00FE281D">
        <w:rPr>
          <w:rFonts w:ascii="Arial" w:hAnsi="Arial" w:cs="Arial"/>
          <w:szCs w:val="20"/>
        </w:rPr>
        <w:t>tion im Neumaschinengeschäft deutlich zu verbessern. Dies umfasst Design-to-Cost-Projekte, Ei</w:t>
      </w:r>
      <w:r w:rsidR="00FE281D" w:rsidRPr="00FE281D">
        <w:rPr>
          <w:rFonts w:ascii="Arial" w:hAnsi="Arial" w:cs="Arial"/>
          <w:szCs w:val="20"/>
        </w:rPr>
        <w:t>n</w:t>
      </w:r>
      <w:r w:rsidR="00FE281D" w:rsidRPr="00FE281D">
        <w:rPr>
          <w:rFonts w:ascii="Arial" w:hAnsi="Arial" w:cs="Arial"/>
          <w:szCs w:val="20"/>
        </w:rPr>
        <w:t xml:space="preserve">kaufsoptimierungen und </w:t>
      </w:r>
      <w:r w:rsidR="00B92DC7">
        <w:rPr>
          <w:rFonts w:ascii="Arial" w:hAnsi="Arial" w:cs="Arial"/>
          <w:szCs w:val="20"/>
        </w:rPr>
        <w:t>weitere Maßnahmen</w:t>
      </w:r>
      <w:r w:rsidR="00FE281D" w:rsidRPr="00FE281D">
        <w:rPr>
          <w:rFonts w:ascii="Arial" w:hAnsi="Arial" w:cs="Arial"/>
          <w:szCs w:val="20"/>
        </w:rPr>
        <w:t xml:space="preserve">. </w:t>
      </w:r>
      <w:r w:rsidR="00B92DC7">
        <w:rPr>
          <w:rFonts w:ascii="Arial" w:hAnsi="Arial" w:cs="Arial"/>
          <w:szCs w:val="20"/>
        </w:rPr>
        <w:t>Darüber hinaus</w:t>
      </w:r>
      <w:r w:rsidR="00FE281D" w:rsidRPr="00FE281D">
        <w:rPr>
          <w:rFonts w:ascii="Arial" w:hAnsi="Arial" w:cs="Arial"/>
          <w:szCs w:val="20"/>
        </w:rPr>
        <w:t xml:space="preserve"> stehen die Bündelung von Aufgaben als Shared Services und die Reduzierung der Holding- sowie der Vertriebs- und Verwaltungskosten </w:t>
      </w:r>
      <w:r w:rsidR="00FE281D">
        <w:rPr>
          <w:rFonts w:ascii="Arial" w:hAnsi="Arial" w:cs="Arial"/>
          <w:szCs w:val="20"/>
        </w:rPr>
        <w:t>auf der Agenda.“</w:t>
      </w:r>
    </w:p>
    <w:p w:rsidR="00A44634" w:rsidRPr="00DA26EA" w:rsidRDefault="00FE281D" w:rsidP="00A44634">
      <w:pPr>
        <w:spacing w:after="240"/>
        <w:rPr>
          <w:szCs w:val="20"/>
        </w:rPr>
      </w:pPr>
      <w:r w:rsidRPr="00DA26EA">
        <w:rPr>
          <w:szCs w:val="20"/>
        </w:rPr>
        <w:t>CFO Mathias Dähn fügt hinzu: „</w:t>
      </w:r>
      <w:r w:rsidRPr="00DA26EA">
        <w:rPr>
          <w:rFonts w:ascii="Arial" w:hAnsi="Arial" w:cs="Arial"/>
          <w:szCs w:val="20"/>
        </w:rPr>
        <w:t>Zusätzlich zu den Kostensenkungsprojekten zielt das Effizienzpr</w:t>
      </w:r>
      <w:r w:rsidRPr="00DA26EA">
        <w:rPr>
          <w:rFonts w:ascii="Arial" w:hAnsi="Arial" w:cs="Arial"/>
          <w:szCs w:val="20"/>
        </w:rPr>
        <w:t>o</w:t>
      </w:r>
      <w:r w:rsidRPr="00DA26EA">
        <w:rPr>
          <w:rFonts w:ascii="Arial" w:hAnsi="Arial" w:cs="Arial"/>
          <w:szCs w:val="20"/>
        </w:rPr>
        <w:t>gramm auf die Reduzierung der Durchlaufzeiten in der Montage und eine beschleunigte Kundena</w:t>
      </w:r>
      <w:r w:rsidRPr="00DA26EA">
        <w:rPr>
          <w:rFonts w:ascii="Arial" w:hAnsi="Arial" w:cs="Arial"/>
          <w:szCs w:val="20"/>
        </w:rPr>
        <w:t>b</w:t>
      </w:r>
      <w:r w:rsidRPr="00DA26EA">
        <w:rPr>
          <w:rFonts w:ascii="Arial" w:hAnsi="Arial" w:cs="Arial"/>
          <w:szCs w:val="20"/>
        </w:rPr>
        <w:t>nahme ab. Neben kürzeren Lieferzeiten werden dadurch ein niedrigeres Working Capital und eine Cashflow-Verbesserung ermöglicht. Mit weiteren Aktivitäten und einem ausgefeilten Maßnahmen-Controlling mit permanentem Monitoring wird an der signifikanten Reduzierung des Working Capitals gearbeitet. Erhebliches Verbesserungspotenzial sehen wir besonders im Wertpapierdruck bei Vorr</w:t>
      </w:r>
      <w:r w:rsidRPr="00DA26EA">
        <w:rPr>
          <w:rFonts w:ascii="Arial" w:hAnsi="Arial" w:cs="Arial"/>
          <w:szCs w:val="20"/>
        </w:rPr>
        <w:t>ä</w:t>
      </w:r>
      <w:r w:rsidRPr="00DA26EA">
        <w:rPr>
          <w:rFonts w:ascii="Arial" w:hAnsi="Arial" w:cs="Arial"/>
          <w:szCs w:val="20"/>
        </w:rPr>
        <w:t>ten und Forderungen durch eine optimierte Vertriebssteuerung und die Forcierung der Exportfinanzi</w:t>
      </w:r>
      <w:r w:rsidRPr="00DA26EA">
        <w:rPr>
          <w:rFonts w:ascii="Arial" w:hAnsi="Arial" w:cs="Arial"/>
          <w:szCs w:val="20"/>
        </w:rPr>
        <w:t>e</w:t>
      </w:r>
      <w:r w:rsidRPr="00DA26EA">
        <w:rPr>
          <w:rFonts w:ascii="Arial" w:hAnsi="Arial" w:cs="Arial"/>
          <w:szCs w:val="20"/>
        </w:rPr>
        <w:t>rung. Zum umfassenden Maßnahmenpaket gehört auch die Verstetigung der Umsatzentwicklung bei Sheetfed.</w:t>
      </w:r>
      <w:r w:rsidR="00A44634" w:rsidRPr="00DA26EA">
        <w:rPr>
          <w:szCs w:val="20"/>
        </w:rPr>
        <w:t>“</w:t>
      </w:r>
    </w:p>
    <w:p w:rsidR="00A44634" w:rsidRPr="004B5DBB" w:rsidRDefault="003302F2" w:rsidP="00A44634">
      <w:pPr>
        <w:pStyle w:val="berschrift3"/>
      </w:pPr>
      <w:r>
        <w:t>Geschäftsentwicklung 2019 im Koenig &amp; Bauer-Konzern</w:t>
      </w:r>
    </w:p>
    <w:p w:rsidR="00A44634" w:rsidRPr="002E0BB7" w:rsidRDefault="006A7C35" w:rsidP="00A44634">
      <w:pPr>
        <w:spacing w:after="240"/>
        <w:rPr>
          <w:szCs w:val="20"/>
        </w:rPr>
      </w:pPr>
      <w:r w:rsidRPr="00DA26EA">
        <w:rPr>
          <w:rFonts w:ascii="Arial" w:hAnsi="Arial" w:cs="Arial"/>
          <w:color w:val="000000"/>
          <w:szCs w:val="20"/>
        </w:rPr>
        <w:t xml:space="preserve">Nachdem 2019 nicht alle im Wertpapier- und Metalldruck erwarteten Aufträge vergeben wurden, lagen </w:t>
      </w:r>
      <w:r w:rsidRPr="00DA26EA">
        <w:rPr>
          <w:rFonts w:ascii="Arial" w:hAnsi="Arial" w:cs="Arial"/>
          <w:szCs w:val="20"/>
        </w:rPr>
        <w:t>Auftragseingang und -bestand mit 1.141,3 Mio. € bzw. 533,7 Mio. € unter den durch den Ägypten-Großauftrag begünstigten Vorjahreswerten</w:t>
      </w:r>
      <w:r>
        <w:rPr>
          <w:rFonts w:ascii="Arial" w:hAnsi="Arial" w:cs="Arial"/>
          <w:szCs w:val="20"/>
        </w:rPr>
        <w:t xml:space="preserve"> (1.22</w:t>
      </w:r>
      <w:r w:rsidR="00EF5293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,0 Mio. € bzw. 610,9 Mio. €)</w:t>
      </w:r>
      <w:r w:rsidRPr="006A7C35">
        <w:rPr>
          <w:rFonts w:ascii="Arial" w:hAnsi="Arial" w:cs="Arial"/>
          <w:szCs w:val="20"/>
        </w:rPr>
        <w:t>. Beim Konzernumsatz wurde mit 1.218,5 Mio. € das Vorjahresniveau erreicht (2018: 1.226,0 Mio. €). Das Ergebnis wurde von den hohen Aufwendungen für die Wachstumsoffensive 2023 belastet. Während fehlende D</w:t>
      </w:r>
      <w:r w:rsidRPr="006A7C35">
        <w:rPr>
          <w:rFonts w:ascii="Arial" w:hAnsi="Arial" w:cs="Arial"/>
          <w:szCs w:val="20"/>
        </w:rPr>
        <w:t>e</w:t>
      </w:r>
      <w:r w:rsidRPr="006A7C35">
        <w:rPr>
          <w:rFonts w:ascii="Arial" w:hAnsi="Arial" w:cs="Arial"/>
          <w:szCs w:val="20"/>
        </w:rPr>
        <w:t>ckungsbeiträge infolge verzögerter bzw. verschobener Auftragsabschlüsse sowie höhere Kosten bei der Auftragsabwicklung das Ergebnis zusätzlich reduzierten, wirkten sich Einmalerträge positiv aus. Per Saldo wurde mit dem Konzern-EBIT von 56,0 Mio. € eine Marge auf 4,6 % erreicht (2018: 87,4 Mio. € bzw. 7,1 %).</w:t>
      </w:r>
      <w:r w:rsidR="00B92DC7">
        <w:rPr>
          <w:szCs w:val="20"/>
        </w:rPr>
        <w:t xml:space="preserve"> </w:t>
      </w:r>
      <w:r w:rsidR="00A44634" w:rsidRPr="00A44634">
        <w:t xml:space="preserve">Mit </w:t>
      </w:r>
      <w:r w:rsidR="00B92DC7">
        <w:t>38,4</w:t>
      </w:r>
      <w:r w:rsidR="00A44634" w:rsidRPr="00A44634">
        <w:t xml:space="preserve"> Mio. € entspricht das Konzernergebnis im Geschäftsjahr 201</w:t>
      </w:r>
      <w:r w:rsidR="00B92DC7">
        <w:t>9</w:t>
      </w:r>
      <w:r w:rsidR="00A44634" w:rsidRPr="00A44634">
        <w:t xml:space="preserve"> (Vorjahr: </w:t>
      </w:r>
      <w:r w:rsidR="00B92DC7">
        <w:t>64,0</w:t>
      </w:r>
      <w:r w:rsidR="00A44634" w:rsidRPr="00A44634">
        <w:t xml:space="preserve"> Mio. €) einem anteiligen Ergebnis je Aktie von </w:t>
      </w:r>
      <w:r w:rsidR="00B92DC7">
        <w:t>2,31</w:t>
      </w:r>
      <w:r w:rsidR="00A44634" w:rsidRPr="00A44634">
        <w:t xml:space="preserve"> € (201</w:t>
      </w:r>
      <w:r w:rsidR="00B92DC7">
        <w:t>8</w:t>
      </w:r>
      <w:r w:rsidR="00A44634" w:rsidRPr="00A44634">
        <w:t xml:space="preserve">: </w:t>
      </w:r>
      <w:r w:rsidR="00B92DC7">
        <w:t>3,86</w:t>
      </w:r>
      <w:r w:rsidR="00A44634" w:rsidRPr="00A44634">
        <w:t xml:space="preserve"> </w:t>
      </w:r>
      <w:r w:rsidR="00A44634" w:rsidRPr="002E0BB7">
        <w:rPr>
          <w:szCs w:val="20"/>
        </w:rPr>
        <w:t xml:space="preserve">€). </w:t>
      </w:r>
      <w:r w:rsidR="002E0BB7" w:rsidRPr="002E0BB7">
        <w:rPr>
          <w:rFonts w:ascii="Arial" w:hAnsi="Arial" w:cs="Arial"/>
          <w:color w:val="222222"/>
          <w:szCs w:val="20"/>
          <w:shd w:val="clear" w:color="auto" w:fill="FFFFFF"/>
        </w:rPr>
        <w:t>In Anbetracht der deutlich gestiegenen Unsicherheiten durch die Corona-Krise schlagen Vorstand und Aufsichtsrat der Haup</w:t>
      </w:r>
      <w:r w:rsidR="002E0BB7" w:rsidRPr="002E0BB7">
        <w:rPr>
          <w:rFonts w:ascii="Arial" w:hAnsi="Arial" w:cs="Arial"/>
          <w:color w:val="222222"/>
          <w:szCs w:val="20"/>
          <w:shd w:val="clear" w:color="auto" w:fill="FFFFFF"/>
        </w:rPr>
        <w:t>t</w:t>
      </w:r>
      <w:r w:rsidR="002E0BB7" w:rsidRPr="002E0BB7">
        <w:rPr>
          <w:rFonts w:ascii="Arial" w:hAnsi="Arial" w:cs="Arial"/>
          <w:color w:val="222222"/>
          <w:szCs w:val="20"/>
          <w:shd w:val="clear" w:color="auto" w:fill="FFFFFF"/>
        </w:rPr>
        <w:t>versammlung vor, die Dividendenzahlung für das Geschäftsjahr 2019 auszusetzen und den bei der Holdinggesellschaft Koenig &amp; Bauer AG generierten Bilanzgewinn auf neue Rechnung vorzutragen. Die grundsätzliche Dividendenpolitik, 15 % bis 35 % des Konzernergebnisses auszuschütten, bleibt unberührt.</w:t>
      </w:r>
    </w:p>
    <w:p w:rsidR="00A44634" w:rsidRPr="00A44634" w:rsidRDefault="00FE281D" w:rsidP="00A44634">
      <w:pPr>
        <w:pStyle w:val="berschrift3"/>
      </w:pPr>
      <w:r>
        <w:t>Geschäftsentwicklung 2019 in den Segmenten</w:t>
      </w:r>
    </w:p>
    <w:p w:rsidR="007C51CA" w:rsidRDefault="00B92DC7" w:rsidP="00A44634">
      <w:pPr>
        <w:spacing w:after="240"/>
        <w:rPr>
          <w:rFonts w:ascii="Arial" w:hAnsi="Arial" w:cs="Arial"/>
          <w:szCs w:val="20"/>
        </w:rPr>
      </w:pPr>
      <w:r w:rsidRPr="007C51CA">
        <w:rPr>
          <w:rFonts w:ascii="Arial" w:hAnsi="Arial" w:cs="Arial"/>
          <w:szCs w:val="20"/>
        </w:rPr>
        <w:t>Neben deutlich mehr Serviceaufträgen führten höhere Maschinenbestellungen im Groß- und Mitte</w:t>
      </w:r>
      <w:r w:rsidRPr="007C51CA">
        <w:rPr>
          <w:rFonts w:ascii="Arial" w:hAnsi="Arial" w:cs="Arial"/>
          <w:szCs w:val="20"/>
        </w:rPr>
        <w:t>l</w:t>
      </w:r>
      <w:r w:rsidRPr="007C51CA">
        <w:rPr>
          <w:rFonts w:ascii="Arial" w:hAnsi="Arial" w:cs="Arial"/>
          <w:szCs w:val="20"/>
        </w:rPr>
        <w:t>format zu einem Zuwachs des Auftragseingangs bei Sheetfed um 8,9 % auf 625,3 Mio. € (2018: 574,3 Mio. €). Der Umsatz legte gegenüber 2018 (615,9 Mio. €) um 2,6 % auf 631,8 Mio. € zu. Der mit 183,4 Mio. € im Vergleich zum Vorjahr (189,9 Mio. €) leicht niedrigere Auftragsbestand blieb auf einem g</w:t>
      </w:r>
      <w:r w:rsidRPr="007C51CA">
        <w:rPr>
          <w:rFonts w:ascii="Arial" w:hAnsi="Arial" w:cs="Arial"/>
          <w:szCs w:val="20"/>
        </w:rPr>
        <w:t>u</w:t>
      </w:r>
      <w:r w:rsidRPr="007C51CA">
        <w:rPr>
          <w:rFonts w:ascii="Arial" w:hAnsi="Arial" w:cs="Arial"/>
          <w:szCs w:val="20"/>
        </w:rPr>
        <w:t>ten Niveau. Durch den Produkt</w:t>
      </w:r>
      <w:r w:rsidR="00CD5277">
        <w:rPr>
          <w:rFonts w:ascii="Arial" w:hAnsi="Arial" w:cs="Arial"/>
          <w:szCs w:val="20"/>
        </w:rPr>
        <w:t>- und Regional</w:t>
      </w:r>
      <w:r w:rsidRPr="007C51CA">
        <w:rPr>
          <w:rFonts w:ascii="Arial" w:hAnsi="Arial" w:cs="Arial"/>
          <w:szCs w:val="20"/>
        </w:rPr>
        <w:t xml:space="preserve">mix </w:t>
      </w:r>
      <w:r w:rsidR="00CD5277">
        <w:rPr>
          <w:rFonts w:ascii="Arial" w:hAnsi="Arial" w:cs="Arial"/>
          <w:szCs w:val="20"/>
        </w:rPr>
        <w:t>sowie</w:t>
      </w:r>
      <w:r w:rsidRPr="007C51CA">
        <w:rPr>
          <w:rFonts w:ascii="Arial" w:hAnsi="Arial" w:cs="Arial"/>
          <w:szCs w:val="20"/>
        </w:rPr>
        <w:t xml:space="preserve"> höhere Auftragskosten lag das EBIT mit 19,4 Mio. € unter dem Vorjahr (35,4 Mio. €).</w:t>
      </w:r>
    </w:p>
    <w:p w:rsidR="00A44634" w:rsidRDefault="007C51CA" w:rsidP="00A44634">
      <w:pPr>
        <w:spacing w:after="240"/>
        <w:rPr>
          <w:rFonts w:ascii="Arial" w:hAnsi="Arial" w:cs="Arial"/>
          <w:szCs w:val="20"/>
        </w:rPr>
      </w:pPr>
      <w:r w:rsidRPr="007C51CA">
        <w:rPr>
          <w:rFonts w:ascii="Arial" w:hAnsi="Arial" w:cs="Arial"/>
          <w:szCs w:val="20"/>
        </w:rPr>
        <w:lastRenderedPageBreak/>
        <w:t xml:space="preserve">Bei Digital &amp; Web lag der Auftragseingang mit 144,9 Mio. € um 18,0 % unter dem Vorjahreswert von 176,6 Mio. €. Neben dem rückläufigen </w:t>
      </w:r>
      <w:r>
        <w:rPr>
          <w:rFonts w:ascii="Arial" w:hAnsi="Arial" w:cs="Arial"/>
          <w:szCs w:val="20"/>
        </w:rPr>
        <w:t>Offset-Rollenmaschinen-</w:t>
      </w:r>
      <w:r w:rsidRPr="007C51CA">
        <w:rPr>
          <w:rFonts w:ascii="Arial" w:hAnsi="Arial" w:cs="Arial"/>
          <w:szCs w:val="20"/>
        </w:rPr>
        <w:t>Servicegeschäft waren geringere B</w:t>
      </w:r>
      <w:r w:rsidRPr="007C51CA">
        <w:rPr>
          <w:rFonts w:ascii="Arial" w:hAnsi="Arial" w:cs="Arial"/>
          <w:szCs w:val="20"/>
        </w:rPr>
        <w:t>e</w:t>
      </w:r>
      <w:r w:rsidRPr="007C51CA">
        <w:rPr>
          <w:rFonts w:ascii="Arial" w:hAnsi="Arial" w:cs="Arial"/>
          <w:szCs w:val="20"/>
        </w:rPr>
        <w:t>stellungen im flexiblen Verpackungsdruck für diesen Rückgang ausschlaggebend. Der Umsatz ist um 7,4 % von 153,3 Mio. € auf 164,6 Mio. € gestiegen. Per Saldo reduzierte sich der Auftragsbestand zum Jahresende 2019 von 85,8 Mio. € auf 66,1 Mio. €. Das EBIT von –16,5 Mio. € (Vorjahr: –10,2 Mio. €) war durch hohe Markteintritts- und Wachstumsaufwendungen sowie durch das negative E</w:t>
      </w:r>
      <w:r w:rsidRPr="007C51CA">
        <w:rPr>
          <w:rFonts w:ascii="Arial" w:hAnsi="Arial" w:cs="Arial"/>
          <w:szCs w:val="20"/>
        </w:rPr>
        <w:t>r</w:t>
      </w:r>
      <w:r w:rsidRPr="007C51CA">
        <w:rPr>
          <w:rFonts w:ascii="Arial" w:hAnsi="Arial" w:cs="Arial"/>
          <w:szCs w:val="20"/>
        </w:rPr>
        <w:t>gebnis im flexiblen Verpackungsdruck belastet.</w:t>
      </w:r>
    </w:p>
    <w:p w:rsidR="007C51CA" w:rsidRPr="007C51CA" w:rsidRDefault="007C51CA" w:rsidP="007C51CA">
      <w:pPr>
        <w:pStyle w:val="Flietext"/>
        <w:tabs>
          <w:tab w:val="clear" w:pos="283"/>
          <w:tab w:val="clear" w:pos="7938"/>
        </w:tabs>
        <w:spacing w:afterLines="100" w:after="240" w:line="276" w:lineRule="auto"/>
        <w:ind w:right="284"/>
        <w:rPr>
          <w:rFonts w:ascii="Arial" w:hAnsi="Arial"/>
          <w:spacing w:val="0"/>
          <w:sz w:val="20"/>
          <w:szCs w:val="20"/>
        </w:rPr>
      </w:pPr>
      <w:r w:rsidRPr="007C51CA">
        <w:rPr>
          <w:rFonts w:ascii="Arial" w:hAnsi="Arial" w:cs="Arial"/>
          <w:spacing w:val="0"/>
          <w:sz w:val="20"/>
          <w:szCs w:val="20"/>
        </w:rPr>
        <w:t>Bei Special lag der Auftragseingang mit 406,7 Mio. € unter dem durch einen Großauftrag im Wer</w:t>
      </w:r>
      <w:r w:rsidRPr="007C51CA">
        <w:rPr>
          <w:rFonts w:ascii="Arial" w:hAnsi="Arial" w:cs="Arial"/>
          <w:spacing w:val="0"/>
          <w:sz w:val="20"/>
          <w:szCs w:val="20"/>
        </w:rPr>
        <w:t>t</w:t>
      </w:r>
      <w:r w:rsidRPr="007C51CA">
        <w:rPr>
          <w:rFonts w:ascii="Arial" w:hAnsi="Arial" w:cs="Arial"/>
          <w:spacing w:val="0"/>
          <w:sz w:val="20"/>
          <w:szCs w:val="20"/>
        </w:rPr>
        <w:t xml:space="preserve">papierdruck beeinflussten Vorjahreswert von </w:t>
      </w:r>
      <w:r w:rsidRPr="007C51CA">
        <w:rPr>
          <w:rFonts w:ascii="Arial" w:hAnsi="Arial" w:cs="Arial"/>
          <w:color w:val="auto"/>
          <w:spacing w:val="2"/>
          <w:sz w:val="20"/>
          <w:szCs w:val="20"/>
        </w:rPr>
        <w:t xml:space="preserve">505,1 </w:t>
      </w:r>
      <w:r w:rsidRPr="007C51CA">
        <w:rPr>
          <w:rFonts w:ascii="Arial" w:hAnsi="Arial" w:cs="Arial"/>
          <w:spacing w:val="0"/>
          <w:sz w:val="20"/>
          <w:szCs w:val="20"/>
        </w:rPr>
        <w:t xml:space="preserve">Mio. €. </w:t>
      </w:r>
      <w:r w:rsidRPr="007C51CA">
        <w:rPr>
          <w:rFonts w:ascii="Arial" w:hAnsi="Arial"/>
          <w:spacing w:val="0"/>
          <w:sz w:val="20"/>
          <w:szCs w:val="20"/>
        </w:rPr>
        <w:t>Nach 491,5 Mio. € im Vorjahr wurde ein Umsatz von 463,9 Mio. € erzielt. Der Auftragsbestand lag zum Jahresende 2019 bei 287,3 Mio. € (31.12.2018: 344,5 Mio. €). Durch den niedrigeren Umsatz, Produktmix und die unerwarteten Pr</w:t>
      </w:r>
      <w:r w:rsidRPr="007C51CA">
        <w:rPr>
          <w:rFonts w:ascii="Arial" w:hAnsi="Arial"/>
          <w:spacing w:val="0"/>
          <w:sz w:val="20"/>
          <w:szCs w:val="20"/>
        </w:rPr>
        <w:t>o</w:t>
      </w:r>
      <w:r w:rsidRPr="007C51CA">
        <w:rPr>
          <w:rFonts w:ascii="Arial" w:hAnsi="Arial"/>
          <w:spacing w:val="0"/>
          <w:sz w:val="20"/>
          <w:szCs w:val="20"/>
        </w:rPr>
        <w:t>jektaufwendungen beim Wertpapier-Großauftrag lag das EBIT trotz Einmalerträge</w:t>
      </w:r>
      <w:r w:rsidR="00553D24">
        <w:rPr>
          <w:rFonts w:ascii="Arial" w:hAnsi="Arial"/>
          <w:spacing w:val="0"/>
          <w:sz w:val="20"/>
          <w:szCs w:val="20"/>
        </w:rPr>
        <w:t>n</w:t>
      </w:r>
      <w:r w:rsidRPr="007C51CA">
        <w:rPr>
          <w:rFonts w:ascii="Arial" w:hAnsi="Arial"/>
          <w:spacing w:val="0"/>
          <w:sz w:val="20"/>
          <w:szCs w:val="20"/>
        </w:rPr>
        <w:t xml:space="preserve"> bei 43,9 Mio. € nach 48,2 Mio. € im Vorjahr.</w:t>
      </w:r>
      <w:r w:rsidR="00EB3888">
        <w:rPr>
          <w:rFonts w:ascii="Arial" w:hAnsi="Arial"/>
          <w:spacing w:val="0"/>
          <w:sz w:val="20"/>
          <w:szCs w:val="20"/>
        </w:rPr>
        <w:t xml:space="preserve"> </w:t>
      </w:r>
    </w:p>
    <w:p w:rsidR="00A44634" w:rsidRPr="004B5DBB" w:rsidRDefault="00360F64" w:rsidP="00A44634">
      <w:pPr>
        <w:pStyle w:val="berschrift3"/>
      </w:pPr>
      <w:r>
        <w:t>Überdurchschnittliche</w:t>
      </w:r>
      <w:r w:rsidR="00A44634" w:rsidRPr="004B5DBB">
        <w:t xml:space="preserve"> Bilanz</w:t>
      </w:r>
      <w:r>
        <w:t>relationen</w:t>
      </w:r>
    </w:p>
    <w:p w:rsidR="00A44634" w:rsidRPr="00317BB5" w:rsidRDefault="007C51CA" w:rsidP="00A44634">
      <w:pPr>
        <w:spacing w:after="240"/>
        <w:rPr>
          <w:szCs w:val="20"/>
        </w:rPr>
      </w:pPr>
      <w:r w:rsidRPr="00317BB5">
        <w:rPr>
          <w:rFonts w:ascii="Arial" w:hAnsi="Arial" w:cs="Arial"/>
          <w:color w:val="000000"/>
          <w:szCs w:val="20"/>
        </w:rPr>
        <w:t>Neben hohen Investitionsauszahlungen und der Dividendenzahlung wurde der Cashflow durch Ei</w:t>
      </w:r>
      <w:r w:rsidRPr="00317BB5">
        <w:rPr>
          <w:rFonts w:ascii="Arial" w:hAnsi="Arial" w:cs="Arial"/>
          <w:color w:val="000000"/>
          <w:szCs w:val="20"/>
        </w:rPr>
        <w:t>n</w:t>
      </w:r>
      <w:r w:rsidRPr="00317BB5">
        <w:rPr>
          <w:rFonts w:ascii="Arial" w:hAnsi="Arial" w:cs="Arial"/>
          <w:color w:val="000000"/>
          <w:szCs w:val="20"/>
        </w:rPr>
        <w:t xml:space="preserve">maleffekte wie die aus dem Ägypten-Großauftrag resultierende </w:t>
      </w:r>
      <w:r w:rsidR="00317BB5">
        <w:rPr>
          <w:rFonts w:ascii="Arial" w:hAnsi="Arial" w:cs="Arial"/>
          <w:szCs w:val="20"/>
        </w:rPr>
        <w:t>hohe</w:t>
      </w:r>
      <w:r w:rsidRPr="00317BB5">
        <w:rPr>
          <w:rFonts w:ascii="Arial" w:hAnsi="Arial" w:cs="Arial"/>
          <w:szCs w:val="20"/>
        </w:rPr>
        <w:t xml:space="preserve"> Kapitalbindung </w:t>
      </w:r>
      <w:r w:rsidRPr="00317BB5">
        <w:rPr>
          <w:rFonts w:ascii="Arial" w:hAnsi="Arial" w:cs="Arial"/>
          <w:color w:val="000000"/>
          <w:szCs w:val="20"/>
        </w:rPr>
        <w:t xml:space="preserve">beeinflusst. </w:t>
      </w:r>
      <w:r w:rsidRPr="00317BB5">
        <w:rPr>
          <w:rFonts w:ascii="Arial" w:hAnsi="Arial" w:cs="Arial"/>
          <w:szCs w:val="20"/>
        </w:rPr>
        <w:t>En</w:t>
      </w:r>
      <w:r w:rsidRPr="00317BB5">
        <w:rPr>
          <w:rFonts w:ascii="Arial" w:hAnsi="Arial" w:cs="Arial"/>
          <w:szCs w:val="20"/>
        </w:rPr>
        <w:t>t</w:t>
      </w:r>
      <w:r w:rsidRPr="00317BB5">
        <w:rPr>
          <w:rFonts w:ascii="Arial" w:hAnsi="Arial" w:cs="Arial"/>
          <w:szCs w:val="20"/>
        </w:rPr>
        <w:t xml:space="preserve">sprechend lagen der Cashflow aus betrieblicher Geschäftstätigkeit mit </w:t>
      </w:r>
      <w:r w:rsidRPr="00317BB5">
        <w:rPr>
          <w:rFonts w:ascii="Arial" w:hAnsi="Arial" w:cs="Arial"/>
          <w:bCs/>
          <w:szCs w:val="20"/>
        </w:rPr>
        <w:t xml:space="preserve">–7,9 Mio. € </w:t>
      </w:r>
      <w:r w:rsidRPr="00317BB5">
        <w:rPr>
          <w:rFonts w:ascii="Arial" w:hAnsi="Arial" w:cs="Arial"/>
          <w:szCs w:val="20"/>
        </w:rPr>
        <w:t>und der freie Cas</w:t>
      </w:r>
      <w:r w:rsidRPr="00317BB5">
        <w:rPr>
          <w:rFonts w:ascii="Arial" w:hAnsi="Arial" w:cs="Arial"/>
          <w:szCs w:val="20"/>
        </w:rPr>
        <w:t>h</w:t>
      </w:r>
      <w:r w:rsidRPr="00317BB5">
        <w:rPr>
          <w:rFonts w:ascii="Arial" w:hAnsi="Arial" w:cs="Arial"/>
          <w:szCs w:val="20"/>
        </w:rPr>
        <w:t xml:space="preserve">flow mit </w:t>
      </w:r>
      <w:r w:rsidRPr="00317BB5">
        <w:rPr>
          <w:rFonts w:ascii="Arial" w:hAnsi="Arial" w:cs="Arial"/>
          <w:bCs/>
          <w:szCs w:val="20"/>
        </w:rPr>
        <w:t xml:space="preserve">–52,3 Mio. € unter den Vorjahreswerten (66,3 Mio. € bzw. </w:t>
      </w:r>
      <w:r w:rsidRPr="00317BB5">
        <w:rPr>
          <w:rFonts w:ascii="Arial" w:hAnsi="Arial" w:cs="Arial"/>
          <w:szCs w:val="20"/>
        </w:rPr>
        <w:t xml:space="preserve">–19,5 Mio. €). </w:t>
      </w:r>
      <w:r w:rsidR="00317BB5">
        <w:rPr>
          <w:rFonts w:ascii="Arial" w:hAnsi="Arial" w:cs="Arial"/>
          <w:szCs w:val="20"/>
        </w:rPr>
        <w:t xml:space="preserve">Die mit namhaften Banken vereinbarte </w:t>
      </w:r>
      <w:r w:rsidR="00A44634" w:rsidRPr="00317BB5">
        <w:rPr>
          <w:szCs w:val="20"/>
        </w:rPr>
        <w:t xml:space="preserve">syndizierte Kreditlinie mit langfristiger Laufzeit </w:t>
      </w:r>
      <w:r w:rsidR="00317BB5">
        <w:rPr>
          <w:szCs w:val="20"/>
        </w:rPr>
        <w:t xml:space="preserve">stärkt die Stabilität des Konzerns. </w:t>
      </w:r>
      <w:r w:rsidR="00317BB5" w:rsidRPr="00317BB5">
        <w:rPr>
          <w:szCs w:val="20"/>
        </w:rPr>
        <w:t>Bei den Bilanzrelationen ist die Koenig &amp; Bauer-Gruppe mit einer Eigenkapitalquote von 34,3 % gut</w:t>
      </w:r>
      <w:r w:rsidR="00A44634" w:rsidRPr="00317BB5">
        <w:rPr>
          <w:szCs w:val="20"/>
        </w:rPr>
        <w:t xml:space="preserve"> </w:t>
      </w:r>
      <w:r w:rsidR="00CD5277">
        <w:rPr>
          <w:szCs w:val="20"/>
        </w:rPr>
        <w:t>aufgestellt.</w:t>
      </w:r>
    </w:p>
    <w:p w:rsidR="00A44634" w:rsidRPr="00A44634" w:rsidRDefault="00EF5293" w:rsidP="00A44634">
      <w:pPr>
        <w:pStyle w:val="berschrift3"/>
      </w:pPr>
      <w:r>
        <w:t>Guidance für</w:t>
      </w:r>
      <w:r w:rsidR="00A44634" w:rsidRPr="00A44634">
        <w:t xml:space="preserve"> 20</w:t>
      </w:r>
      <w:r w:rsidR="00915E8A">
        <w:t>20</w:t>
      </w:r>
    </w:p>
    <w:p w:rsidR="00A44634" w:rsidRDefault="00A44634" w:rsidP="002E0BB7">
      <w:pPr>
        <w:spacing w:after="240"/>
        <w:ind w:right="139"/>
        <w:rPr>
          <w:szCs w:val="20"/>
        </w:rPr>
      </w:pPr>
      <w:r w:rsidRPr="0032056E">
        <w:rPr>
          <w:szCs w:val="20"/>
        </w:rPr>
        <w:t>CFO Mathias Dähn: „</w:t>
      </w:r>
      <w:r w:rsidR="002E0BB7" w:rsidRPr="002E0BB7">
        <w:rPr>
          <w:rFonts w:ascii="Arial" w:hAnsi="Arial" w:cs="Arial"/>
          <w:color w:val="000000"/>
          <w:szCs w:val="20"/>
        </w:rPr>
        <w:t>Bereits vor dem Ausbruch des Corona-Virus waren die weltwirtschaftlichen Rahmenbedingungen anspruchsvoll. Angesichts der sich täglich verschlechternden weltwirtschaftl</w:t>
      </w:r>
      <w:r w:rsidR="002E0BB7" w:rsidRPr="002E0BB7">
        <w:rPr>
          <w:rFonts w:ascii="Arial" w:hAnsi="Arial" w:cs="Arial"/>
          <w:color w:val="000000"/>
          <w:szCs w:val="20"/>
        </w:rPr>
        <w:t>i</w:t>
      </w:r>
      <w:r w:rsidR="002E0BB7" w:rsidRPr="002E0BB7">
        <w:rPr>
          <w:rFonts w:ascii="Arial" w:hAnsi="Arial" w:cs="Arial"/>
          <w:color w:val="000000"/>
          <w:szCs w:val="20"/>
        </w:rPr>
        <w:t>chen Lage durch das Corona-Virus sind die Auswirkungen auf unser Unternehmen und die Erre</w:t>
      </w:r>
      <w:r w:rsidR="002E0BB7" w:rsidRPr="002E0BB7">
        <w:rPr>
          <w:rFonts w:ascii="Arial" w:hAnsi="Arial" w:cs="Arial"/>
          <w:color w:val="000000"/>
          <w:szCs w:val="20"/>
        </w:rPr>
        <w:t>i</w:t>
      </w:r>
      <w:r w:rsidR="002E0BB7" w:rsidRPr="002E0BB7">
        <w:rPr>
          <w:rFonts w:ascii="Arial" w:hAnsi="Arial" w:cs="Arial"/>
          <w:color w:val="000000"/>
          <w:szCs w:val="20"/>
        </w:rPr>
        <w:t>chung unserer Planung derzeit vollkommen offen. Für 2020 ist unsere Planung, einen gegenüber dem Vorjahr weitgehend stabilen Konzernumsatz und das EBIT-Niveau des Vorjahres – ohne die rund 10 Mio. € Sonderaufwendungen für das Effizienzprogramm – zu erreichen. Allerhöchste Prior</w:t>
      </w:r>
      <w:r w:rsidR="002E0BB7" w:rsidRPr="002E0BB7">
        <w:rPr>
          <w:rFonts w:ascii="Arial" w:hAnsi="Arial" w:cs="Arial"/>
          <w:color w:val="000000"/>
          <w:szCs w:val="20"/>
        </w:rPr>
        <w:t>i</w:t>
      </w:r>
      <w:r w:rsidR="002E0BB7" w:rsidRPr="002E0BB7">
        <w:rPr>
          <w:rFonts w:ascii="Arial" w:hAnsi="Arial" w:cs="Arial"/>
          <w:color w:val="000000"/>
          <w:szCs w:val="20"/>
        </w:rPr>
        <w:t>tät hat derzeit der Umgang mit möglichen Konsequenzen aus der Corona-Krise.</w:t>
      </w:r>
      <w:r w:rsidRPr="0032056E">
        <w:rPr>
          <w:szCs w:val="20"/>
        </w:rPr>
        <w:t>“</w:t>
      </w:r>
    </w:p>
    <w:p w:rsidR="00E84071" w:rsidRPr="0032056E" w:rsidRDefault="00E84071" w:rsidP="004B5DBB">
      <w:pPr>
        <w:spacing w:after="240"/>
        <w:ind w:right="-2"/>
        <w:rPr>
          <w:szCs w:val="20"/>
        </w:rPr>
      </w:pPr>
    </w:p>
    <w:p w:rsidR="00BC4F56" w:rsidRPr="00A44634" w:rsidRDefault="00A44634" w:rsidP="00BC4F56">
      <w:pPr>
        <w:pStyle w:val="berschrift4"/>
        <w:rPr>
          <w:lang w:val="de-DE"/>
        </w:rPr>
      </w:pPr>
      <w:r w:rsidRPr="00A44634">
        <w:rPr>
          <w:lang w:val="de-DE"/>
        </w:rPr>
        <w:t>Foto 1:</w:t>
      </w:r>
    </w:p>
    <w:p w:rsidR="006B2D44" w:rsidRPr="00A44634" w:rsidRDefault="00262470" w:rsidP="00BC4F56">
      <w:pPr>
        <w:spacing w:after="240"/>
      </w:pPr>
      <w:r>
        <w:t>Der S</w:t>
      </w:r>
      <w:r w:rsidR="00C1069D">
        <w:t>ervice-Umsatzanteil konnte 201</w:t>
      </w:r>
      <w:r w:rsidR="0032056E">
        <w:t>9</w:t>
      </w:r>
      <w:r w:rsidR="00C1069D">
        <w:t xml:space="preserve"> im Konzern </w:t>
      </w:r>
      <w:r>
        <w:t>auf 2</w:t>
      </w:r>
      <w:r w:rsidR="0032056E">
        <w:t>8</w:t>
      </w:r>
      <w:r>
        <w:t>,</w:t>
      </w:r>
      <w:r w:rsidR="0032056E">
        <w:t>2</w:t>
      </w:r>
      <w:r>
        <w:t xml:space="preserve"> % gesteigert werden</w:t>
      </w:r>
    </w:p>
    <w:p w:rsidR="00A44634" w:rsidRPr="00A44634" w:rsidRDefault="00A44634" w:rsidP="00A44634">
      <w:pPr>
        <w:pStyle w:val="berschrift4"/>
        <w:rPr>
          <w:lang w:val="de-DE"/>
        </w:rPr>
      </w:pPr>
      <w:r w:rsidRPr="00A44634">
        <w:rPr>
          <w:lang w:val="de-DE"/>
        </w:rPr>
        <w:t>Foto</w:t>
      </w:r>
      <w:r>
        <w:rPr>
          <w:lang w:val="de-DE"/>
        </w:rPr>
        <w:t xml:space="preserve"> 2:</w:t>
      </w:r>
    </w:p>
    <w:p w:rsidR="00A44634" w:rsidRPr="00A44634" w:rsidRDefault="00317BB5" w:rsidP="00A44634">
      <w:pPr>
        <w:spacing w:after="240"/>
      </w:pPr>
      <w:r>
        <w:t>Mit eigenen Entwicklungen, Akquisitionen und Kooperationen hat sich Koenig &amp; Bauer Sheetfed zum One-Stop-Shop-Partner im Wachstumsmarkt Faltschachteln entwickelt</w:t>
      </w:r>
    </w:p>
    <w:p w:rsidR="00C1069D" w:rsidRDefault="00C1069D" w:rsidP="00584EAD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>
        <w:br/>
      </w:r>
      <w:r w:rsidR="00A44634">
        <w:t>Koenig &amp; Bauer AG</w:t>
      </w:r>
      <w:r>
        <w:br/>
      </w:r>
      <w:r w:rsidR="00A44634">
        <w:t>Dr. Bernd Heusinger</w:t>
      </w:r>
      <w:r w:rsidR="00A44634">
        <w:br/>
        <w:t>T +49 931 909-4835</w:t>
      </w:r>
      <w:r>
        <w:br/>
        <w:t xml:space="preserve">M </w:t>
      </w:r>
      <w:hyperlink r:id="rId9" w:history="1">
        <w:r w:rsidR="00A44634" w:rsidRPr="00C5391E">
          <w:rPr>
            <w:rStyle w:val="Hyperlink"/>
          </w:rPr>
          <w:t>bernd.heusinger@koenig-bauer.com</w:t>
        </w:r>
      </w:hyperlink>
    </w:p>
    <w:p w:rsidR="00A44634" w:rsidRPr="004B5DBB" w:rsidRDefault="00A44634" w:rsidP="00A44634">
      <w:pPr>
        <w:pStyle w:val="berschrift4"/>
        <w:rPr>
          <w:lang w:val="de-DE"/>
        </w:rPr>
      </w:pPr>
      <w:r w:rsidRPr="004B5DBB">
        <w:rPr>
          <w:lang w:val="de-DE"/>
        </w:rPr>
        <w:lastRenderedPageBreak/>
        <w:t>Über Koenig &amp; Bauer</w:t>
      </w:r>
    </w:p>
    <w:p w:rsidR="00A44634" w:rsidRPr="00A44634" w:rsidRDefault="00A44634" w:rsidP="00D05BF0">
      <w:pPr>
        <w:spacing w:after="240"/>
        <w:ind w:right="139"/>
      </w:pPr>
      <w:r w:rsidRPr="00A44634">
        <w:t>Mit über 1,2 Mrd. € Jahresumsatz und 5.</w:t>
      </w:r>
      <w:r w:rsidR="00317BB5">
        <w:t>8</w:t>
      </w:r>
      <w:r w:rsidRPr="00A44634">
        <w:t>00 Beschäftigten ist di</w:t>
      </w:r>
      <w:r w:rsidR="004B5DBB">
        <w:t>e Koenig &amp; Bauer-Gruppe ein ku</w:t>
      </w:r>
      <w:r w:rsidR="004B5DBB">
        <w:t>n</w:t>
      </w:r>
      <w:r w:rsidRPr="00A44634">
        <w:t xml:space="preserve">denorientierter Partner der </w:t>
      </w:r>
      <w:r w:rsidR="00317BB5">
        <w:t>weltweiten Drucker und Druckweiterverarbeiter</w:t>
      </w:r>
      <w:r w:rsidRPr="00A44634">
        <w:t xml:space="preserve">. Im Banknotendruck und in wachsenden Märkten des Verpackungsdrucks ist der Lösungsanbieter </w:t>
      </w:r>
      <w:r w:rsidR="00317BB5">
        <w:t>globaler</w:t>
      </w:r>
      <w:r w:rsidRPr="00A44634">
        <w:t xml:space="preserve"> Markt- und Tec</w:t>
      </w:r>
      <w:r w:rsidRPr="00A44634">
        <w:t>h</w:t>
      </w:r>
      <w:r w:rsidRPr="00A44634">
        <w:t xml:space="preserve">nologieführer. Innovation und technischer Fortschritt prägen von Beginn an die </w:t>
      </w:r>
      <w:r w:rsidR="00317BB5">
        <w:t>202</w:t>
      </w:r>
      <w:r w:rsidR="004B5DBB">
        <w:t>-jährige Unte</w:t>
      </w:r>
      <w:r w:rsidR="004B5DBB">
        <w:t>r</w:t>
      </w:r>
      <w:r w:rsidR="004B5DBB">
        <w:t>nehmensent</w:t>
      </w:r>
      <w:r w:rsidRPr="00A44634">
        <w:t>wicklung. Die konsequent auf die Kundenanforderungen zugeschnittenen Hightech-Maschinen und -Anlagen ermöglichen hocheffiziente Druck-, Veredelungs- und Weiterverarbe</w:t>
      </w:r>
      <w:r w:rsidRPr="00A44634">
        <w:t>i</w:t>
      </w:r>
      <w:r w:rsidRPr="00A44634">
        <w:t>tungsprozesse. Die Servicedienstleistungen umfassen eine breite Palette an kundenorientierten Angeboten bi</w:t>
      </w:r>
      <w:r w:rsidR="00360F64">
        <w:t>s hin zur vernetzten Druckerei.</w:t>
      </w:r>
    </w:p>
    <w:p w:rsidR="00A44634" w:rsidRPr="00A44634" w:rsidRDefault="00A44634" w:rsidP="00A44634">
      <w:pPr>
        <w:spacing w:after="240"/>
      </w:pPr>
      <w:r w:rsidRPr="00A44634">
        <w:t>Weitere Informationen unter www.koenig-bauer.com</w:t>
      </w:r>
    </w:p>
    <w:p w:rsidR="00A44634" w:rsidRPr="00A44634" w:rsidRDefault="00A44634" w:rsidP="00A44634">
      <w:pPr>
        <w:spacing w:after="240"/>
      </w:pPr>
    </w:p>
    <w:p w:rsidR="00A44634" w:rsidRPr="004B5DBB" w:rsidRDefault="00A44634" w:rsidP="00A44634">
      <w:pPr>
        <w:pStyle w:val="berschrift4"/>
        <w:rPr>
          <w:lang w:val="de-DE"/>
        </w:rPr>
      </w:pPr>
      <w:r w:rsidRPr="004B5DBB">
        <w:rPr>
          <w:lang w:val="de-DE"/>
        </w:rPr>
        <w:t>Wichtiger Hinweis:</w:t>
      </w:r>
    </w:p>
    <w:p w:rsidR="00A44634" w:rsidRDefault="00A44634" w:rsidP="008B6066">
      <w:pPr>
        <w:spacing w:after="240"/>
        <w:ind w:right="139"/>
      </w:pPr>
      <w:r w:rsidRPr="00A44634">
        <w:t>Diese Presseinformation enthält in die Zukunft gerichtete Aussagen, die auf fundierten Annahmen und Hochrechnungen der Unternehmensleitung der Koenig &amp; Bauer AG beruhen. Auch wenn die Unternehmensleitung der Ansicht ist, dass diese Annahmen und Schätzungen zutreffend sind, kö</w:t>
      </w:r>
      <w:r w:rsidRPr="00A44634">
        <w:t>n</w:t>
      </w:r>
      <w:r w:rsidRPr="00A44634">
        <w:t>nen die künftige tatsächliche Entwicklung und die künftigen tatsächlichen Ergebnisse davon au</w:t>
      </w:r>
      <w:r w:rsidRPr="00A44634">
        <w:t>f</w:t>
      </w:r>
      <w:r w:rsidRPr="00A44634">
        <w:t>grund vielfältiger, vom Unternehmen nicht beeinflussbarer Faktoren abweichen. Zu diesen Faktoren können bei</w:t>
      </w:r>
      <w:r w:rsidR="00D05BF0">
        <w:t>spiels</w:t>
      </w:r>
      <w:r w:rsidRPr="00A44634">
        <w:t>weise die Veränderung der Wirtschaftslage, der Wechselkurse sowie Veränderu</w:t>
      </w:r>
      <w:r w:rsidRPr="00A44634">
        <w:t>n</w:t>
      </w:r>
      <w:r w:rsidRPr="00A44634">
        <w:t xml:space="preserve">gen innerhalb der grafischen Branche gehören. </w:t>
      </w:r>
      <w:r>
        <w:t>Der Ausblick beinhaltet keine bedeutsamen Portf</w:t>
      </w:r>
      <w:r>
        <w:t>o</w:t>
      </w:r>
      <w:r>
        <w:t xml:space="preserve">lioeffekte und </w:t>
      </w:r>
      <w:r w:rsidRPr="00A44634">
        <w:t>-einflüsse bezogen auf rechtliche und behördliche Angelegenheiten. Er ist zudem in Abhängigkeit von fortlaufendem Ertragswachstum und ohne disruptive kurzzeitige Veränderungen am Markt. Die Koenig &amp; Bauer AG übernimmt keine Gewährleistung und keine Haftung dafür, dass die künftige Entwicklung und die künftig tatsächlich erzielten Ergebnisse mit den in dieser Pressei</w:t>
      </w:r>
      <w:r w:rsidRPr="00A44634">
        <w:t>n</w:t>
      </w:r>
      <w:r w:rsidRPr="00A44634">
        <w:t>formation enthaltenen Zahlen und Aussagen identisch sein werden.</w:t>
      </w:r>
      <w:r>
        <w:br/>
      </w:r>
      <w:r>
        <w:br w:type="page"/>
      </w:r>
    </w:p>
    <w:tbl>
      <w:tblPr>
        <w:tblStyle w:val="KoenigundBauerTabelle"/>
        <w:tblW w:w="9131" w:type="dxa"/>
        <w:tblLook w:val="04A0" w:firstRow="1" w:lastRow="0" w:firstColumn="1" w:lastColumn="0" w:noHBand="0" w:noVBand="1"/>
      </w:tblPr>
      <w:tblGrid>
        <w:gridCol w:w="3518"/>
        <w:gridCol w:w="1871"/>
        <w:gridCol w:w="1871"/>
        <w:gridCol w:w="1871"/>
      </w:tblGrid>
      <w:tr w:rsidR="00A44634" w:rsidTr="00B51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D05BF0">
            <w:pPr>
              <w:spacing w:after="240"/>
            </w:pPr>
            <w:r>
              <w:lastRenderedPageBreak/>
              <w:t>Koenig &amp; Bauer</w:t>
            </w:r>
            <w:r w:rsidR="00D05BF0">
              <w:t>-</w:t>
            </w:r>
            <w:r>
              <w:t>Gruppe</w:t>
            </w:r>
          </w:p>
        </w:tc>
        <w:tc>
          <w:tcPr>
            <w:tcW w:w="1871" w:type="dxa"/>
          </w:tcPr>
          <w:p w:rsidR="00A44634" w:rsidRDefault="00C17496" w:rsidP="00A44634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31.12.2018</w:t>
            </w:r>
            <w:r w:rsidR="00A44634">
              <w:br/>
              <w:t>in Mio. Euro</w:t>
            </w:r>
          </w:p>
        </w:tc>
        <w:tc>
          <w:tcPr>
            <w:tcW w:w="1871" w:type="dxa"/>
          </w:tcPr>
          <w:p w:rsidR="00A44634" w:rsidRDefault="00044CE7" w:rsidP="00A44634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31.12.2019</w:t>
            </w:r>
            <w:r w:rsidR="00A44634">
              <w:br/>
              <w:t>in Mio. Euro</w:t>
            </w:r>
          </w:p>
        </w:tc>
        <w:tc>
          <w:tcPr>
            <w:tcW w:w="1871" w:type="dxa"/>
          </w:tcPr>
          <w:p w:rsidR="00A44634" w:rsidRDefault="00A44634" w:rsidP="00A44634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Veränderung</w:t>
            </w:r>
          </w:p>
        </w:tc>
      </w:tr>
      <w:tr w:rsidR="00A44634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A44634">
            <w:pPr>
              <w:spacing w:after="240"/>
            </w:pPr>
            <w:r>
              <w:t>Umsatz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A44634" w:rsidRPr="006B2D44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b w:val="0"/>
              </w:rPr>
            </w:pPr>
            <w:r w:rsidRPr="00A15613">
              <w:rPr>
                <w:b/>
              </w:rPr>
              <w:t>1.226,0</w:t>
            </w:r>
            <w:r>
              <w:br/>
              <w:t>615,9</w:t>
            </w:r>
            <w:r>
              <w:br/>
              <w:t>153,3</w:t>
            </w:r>
            <w:r>
              <w:br/>
              <w:t>491,5</w:t>
            </w:r>
            <w:r>
              <w:br/>
              <w:t>-34,7</w:t>
            </w:r>
          </w:p>
        </w:tc>
        <w:tc>
          <w:tcPr>
            <w:tcW w:w="1871" w:type="dxa"/>
          </w:tcPr>
          <w:p w:rsidR="00A44634" w:rsidRDefault="006B2D44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613">
              <w:rPr>
                <w:b/>
              </w:rPr>
              <w:t>1.2</w:t>
            </w:r>
            <w:r w:rsidR="00C17496">
              <w:rPr>
                <w:b/>
              </w:rPr>
              <w:t>18</w:t>
            </w:r>
            <w:r w:rsidRPr="00A15613">
              <w:rPr>
                <w:b/>
              </w:rPr>
              <w:t>,</w:t>
            </w:r>
            <w:r w:rsidR="00C17496">
              <w:rPr>
                <w:b/>
              </w:rPr>
              <w:t>5</w:t>
            </w:r>
            <w:r>
              <w:br/>
            </w:r>
            <w:r w:rsidR="00C17496">
              <w:t>631,8</w:t>
            </w:r>
            <w:r>
              <w:br/>
            </w:r>
            <w:r w:rsidR="00C17496">
              <w:t>164,6</w:t>
            </w:r>
            <w:r>
              <w:br/>
              <w:t>4</w:t>
            </w:r>
            <w:r w:rsidR="00C17496">
              <w:t>63,9</w:t>
            </w:r>
            <w:r>
              <w:br/>
              <w:t>-</w:t>
            </w:r>
            <w:r w:rsidR="00C17496">
              <w:t>41,8</w:t>
            </w:r>
          </w:p>
        </w:tc>
        <w:tc>
          <w:tcPr>
            <w:tcW w:w="1871" w:type="dxa"/>
          </w:tcPr>
          <w:p w:rsidR="00A44634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-</w:t>
            </w:r>
            <w:r w:rsidR="006B2D44" w:rsidRPr="00A15613">
              <w:rPr>
                <w:b/>
              </w:rPr>
              <w:t xml:space="preserve"> 0,</w:t>
            </w:r>
            <w:r>
              <w:rPr>
                <w:b/>
              </w:rPr>
              <w:t>6</w:t>
            </w:r>
            <w:r w:rsidR="006B2D44" w:rsidRPr="00A15613">
              <w:rPr>
                <w:b/>
              </w:rPr>
              <w:t xml:space="preserve"> %</w:t>
            </w:r>
            <w:r w:rsidR="006B2D44">
              <w:br/>
            </w:r>
            <w:r>
              <w:t>+ 2</w:t>
            </w:r>
            <w:r w:rsidR="006B2D44">
              <w:t>,</w:t>
            </w:r>
            <w:r>
              <w:t>6</w:t>
            </w:r>
            <w:r w:rsidR="006B2D44">
              <w:t xml:space="preserve"> %</w:t>
            </w:r>
            <w:r w:rsidR="006B2D44">
              <w:br/>
            </w:r>
            <w:r>
              <w:t>+</w:t>
            </w:r>
            <w:r w:rsidR="006B2D44">
              <w:t xml:space="preserve"> </w:t>
            </w:r>
            <w:r>
              <w:t>7,4</w:t>
            </w:r>
            <w:r w:rsidR="006B2D44">
              <w:t xml:space="preserve"> %</w:t>
            </w:r>
            <w:r w:rsidR="006B2D44">
              <w:br/>
            </w:r>
            <w:r>
              <w:t>-</w:t>
            </w:r>
            <w:r w:rsidR="006B2D44">
              <w:t xml:space="preserve"> </w:t>
            </w:r>
            <w:r>
              <w:t>5,6</w:t>
            </w:r>
            <w:r w:rsidR="006B2D44">
              <w:t xml:space="preserve"> %</w:t>
            </w:r>
          </w:p>
        </w:tc>
      </w:tr>
      <w:tr w:rsidR="00A44634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A44634">
            <w:pPr>
              <w:spacing w:after="240"/>
            </w:pPr>
            <w:r>
              <w:t>Auftragseingang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A44634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613">
              <w:rPr>
                <w:rStyle w:val="Fett"/>
              </w:rPr>
              <w:t>1.222,0</w:t>
            </w:r>
            <w:r>
              <w:br/>
              <w:t>574,3</w:t>
            </w:r>
            <w:r>
              <w:br/>
              <w:t>176,6</w:t>
            </w:r>
            <w:r>
              <w:br/>
              <w:t>505,1</w:t>
            </w:r>
            <w:r>
              <w:br/>
              <w:t>-</w:t>
            </w:r>
            <w:r w:rsidR="00044CE7">
              <w:t>34</w:t>
            </w:r>
            <w:r>
              <w:t>,0</w:t>
            </w:r>
          </w:p>
        </w:tc>
        <w:tc>
          <w:tcPr>
            <w:tcW w:w="1871" w:type="dxa"/>
          </w:tcPr>
          <w:p w:rsidR="00A44634" w:rsidRDefault="00A15613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613">
              <w:rPr>
                <w:rStyle w:val="Fett"/>
              </w:rPr>
              <w:t>1.</w:t>
            </w:r>
            <w:r w:rsidR="00C17496">
              <w:rPr>
                <w:rStyle w:val="Fett"/>
              </w:rPr>
              <w:t>141,3</w:t>
            </w:r>
            <w:r>
              <w:br/>
            </w:r>
            <w:r w:rsidR="00C17496">
              <w:t>625,3</w:t>
            </w:r>
            <w:r>
              <w:br/>
            </w:r>
            <w:r w:rsidR="00C17496">
              <w:t>144,9</w:t>
            </w:r>
            <w:r>
              <w:br/>
            </w:r>
            <w:r w:rsidR="00044CE7">
              <w:t>406,7</w:t>
            </w:r>
            <w:r>
              <w:br/>
              <w:t>-</w:t>
            </w:r>
            <w:r w:rsidR="00044CE7">
              <w:t>35</w:t>
            </w:r>
            <w:r>
              <w:t>,</w:t>
            </w:r>
            <w:r w:rsidR="00044CE7">
              <w:t>6</w:t>
            </w:r>
          </w:p>
        </w:tc>
        <w:tc>
          <w:tcPr>
            <w:tcW w:w="1871" w:type="dxa"/>
          </w:tcPr>
          <w:p w:rsidR="00A44634" w:rsidRDefault="00A15613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613">
              <w:rPr>
                <w:rStyle w:val="Fett"/>
              </w:rPr>
              <w:t xml:space="preserve">- </w:t>
            </w:r>
            <w:r w:rsidR="00C17496">
              <w:rPr>
                <w:rStyle w:val="Fett"/>
              </w:rPr>
              <w:t>6</w:t>
            </w:r>
            <w:r w:rsidRPr="00A15613">
              <w:rPr>
                <w:rStyle w:val="Fett"/>
              </w:rPr>
              <w:t>,</w:t>
            </w:r>
            <w:r w:rsidR="00C17496">
              <w:rPr>
                <w:rStyle w:val="Fett"/>
              </w:rPr>
              <w:t>6</w:t>
            </w:r>
            <w:r w:rsidRPr="00A15613">
              <w:rPr>
                <w:rStyle w:val="Fett"/>
              </w:rPr>
              <w:t xml:space="preserve"> %</w:t>
            </w:r>
            <w:r>
              <w:br/>
            </w:r>
            <w:r w:rsidR="00C17496">
              <w:t>+</w:t>
            </w:r>
            <w:r>
              <w:t xml:space="preserve"> </w:t>
            </w:r>
            <w:r w:rsidR="00C17496">
              <w:t>8</w:t>
            </w:r>
            <w:r>
              <w:t>,</w:t>
            </w:r>
            <w:r w:rsidR="00C17496">
              <w:t>9</w:t>
            </w:r>
            <w:r>
              <w:t xml:space="preserve"> %</w:t>
            </w:r>
            <w:r>
              <w:br/>
            </w:r>
            <w:r w:rsidR="00C17496">
              <w:t>-</w:t>
            </w:r>
            <w:r>
              <w:t xml:space="preserve"> </w:t>
            </w:r>
            <w:r w:rsidR="00C17496">
              <w:t>18</w:t>
            </w:r>
            <w:r>
              <w:t>,</w:t>
            </w:r>
            <w:r w:rsidR="00C17496">
              <w:t>0</w:t>
            </w:r>
            <w:r>
              <w:t xml:space="preserve"> %</w:t>
            </w:r>
            <w:r>
              <w:br/>
              <w:t xml:space="preserve">- </w:t>
            </w:r>
            <w:r w:rsidR="00044CE7">
              <w:t>19,5</w:t>
            </w:r>
            <w:r>
              <w:t xml:space="preserve"> %</w:t>
            </w:r>
          </w:p>
        </w:tc>
      </w:tr>
      <w:tr w:rsidR="00A44634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A44634">
            <w:pPr>
              <w:spacing w:after="240"/>
            </w:pPr>
            <w:r>
              <w:t>Auftragsbestand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A44634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76">
              <w:rPr>
                <w:rStyle w:val="Fett"/>
              </w:rPr>
              <w:t>610,9</w:t>
            </w:r>
            <w:r>
              <w:br/>
              <w:t>1</w:t>
            </w:r>
            <w:r w:rsidR="00044CE7">
              <w:t>8</w:t>
            </w:r>
            <w:r>
              <w:t>9,</w:t>
            </w:r>
            <w:r w:rsidR="00044CE7">
              <w:t>9</w:t>
            </w:r>
            <w:r>
              <w:br/>
            </w:r>
            <w:r w:rsidR="00044CE7">
              <w:t>85,8</w:t>
            </w:r>
            <w:r>
              <w:br/>
              <w:t>344,</w:t>
            </w:r>
            <w:r w:rsidR="00044CE7">
              <w:t>5</w:t>
            </w:r>
            <w:r>
              <w:br/>
              <w:t>-</w:t>
            </w:r>
            <w:r w:rsidR="00044CE7">
              <w:t>9,3</w:t>
            </w:r>
          </w:p>
        </w:tc>
        <w:tc>
          <w:tcPr>
            <w:tcW w:w="1871" w:type="dxa"/>
          </w:tcPr>
          <w:p w:rsidR="00A44634" w:rsidRDefault="00044CE7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533,7</w:t>
            </w:r>
            <w:r w:rsidR="006B2D44">
              <w:br/>
            </w:r>
            <w:r>
              <w:t>183,4</w:t>
            </w:r>
            <w:r w:rsidR="00A15613">
              <w:br/>
            </w:r>
            <w:r>
              <w:t>66,1</w:t>
            </w:r>
            <w:r w:rsidR="00A15613">
              <w:br/>
            </w:r>
            <w:r>
              <w:t>287,3</w:t>
            </w:r>
            <w:r w:rsidR="00A15613">
              <w:br/>
              <w:t>-</w:t>
            </w:r>
            <w:r>
              <w:t>3,1</w:t>
            </w:r>
          </w:p>
        </w:tc>
        <w:tc>
          <w:tcPr>
            <w:tcW w:w="1871" w:type="dxa"/>
          </w:tcPr>
          <w:p w:rsidR="00A44634" w:rsidRDefault="00044CE7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-</w:t>
            </w:r>
            <w:r w:rsidR="00A15613" w:rsidRPr="001F5D76">
              <w:rPr>
                <w:rStyle w:val="Fett"/>
              </w:rPr>
              <w:t xml:space="preserve"> </w:t>
            </w:r>
            <w:r>
              <w:rPr>
                <w:rStyle w:val="Fett"/>
              </w:rPr>
              <w:t>12</w:t>
            </w:r>
            <w:r w:rsidR="00A15613" w:rsidRPr="001F5D76">
              <w:rPr>
                <w:rStyle w:val="Fett"/>
              </w:rPr>
              <w:t>,</w:t>
            </w:r>
            <w:r>
              <w:rPr>
                <w:rStyle w:val="Fett"/>
              </w:rPr>
              <w:t>6</w:t>
            </w:r>
            <w:r w:rsidR="00A15613" w:rsidRPr="001F5D76">
              <w:rPr>
                <w:rStyle w:val="Fett"/>
              </w:rPr>
              <w:t xml:space="preserve"> %</w:t>
            </w:r>
            <w:r w:rsidR="00A15613">
              <w:br/>
              <w:t xml:space="preserve">- </w:t>
            </w:r>
            <w:r>
              <w:t>3,4</w:t>
            </w:r>
            <w:r w:rsidR="00A15613">
              <w:t xml:space="preserve"> %</w:t>
            </w:r>
            <w:r w:rsidR="00A15613">
              <w:br/>
            </w:r>
            <w:r>
              <w:t>-</w:t>
            </w:r>
            <w:r w:rsidR="00A15613">
              <w:t xml:space="preserve"> 2</w:t>
            </w:r>
            <w:r>
              <w:t>3</w:t>
            </w:r>
            <w:r w:rsidR="00A15613">
              <w:t>,</w:t>
            </w:r>
            <w:r>
              <w:t>0</w:t>
            </w:r>
            <w:r w:rsidR="00A15613">
              <w:t xml:space="preserve"> %</w:t>
            </w:r>
            <w:r w:rsidR="00A15613">
              <w:br/>
            </w:r>
            <w:r>
              <w:t>-</w:t>
            </w:r>
            <w:r w:rsidR="00A15613">
              <w:t xml:space="preserve"> </w:t>
            </w:r>
            <w:r>
              <w:t>1</w:t>
            </w:r>
            <w:r w:rsidR="00A15613">
              <w:t>6,</w:t>
            </w:r>
            <w:r>
              <w:t>6</w:t>
            </w:r>
            <w:r w:rsidR="00A15613">
              <w:t xml:space="preserve"> %</w:t>
            </w:r>
          </w:p>
        </w:tc>
      </w:tr>
      <w:tr w:rsidR="00A44634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A44634">
            <w:pPr>
              <w:spacing w:after="240"/>
            </w:pPr>
            <w:r>
              <w:t>EBIT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A44634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76">
              <w:rPr>
                <w:rStyle w:val="Fett"/>
              </w:rPr>
              <w:t>87,4</w:t>
            </w:r>
            <w:r>
              <w:br/>
            </w:r>
            <w:r w:rsidR="00044CE7">
              <w:t>35,4</w:t>
            </w:r>
            <w:r>
              <w:br/>
              <w:t>-10,</w:t>
            </w:r>
            <w:r w:rsidR="00044CE7">
              <w:t>2</w:t>
            </w:r>
            <w:r>
              <w:br/>
            </w:r>
            <w:r w:rsidR="00044CE7">
              <w:t>48,2</w:t>
            </w:r>
            <w:r>
              <w:br/>
            </w:r>
            <w:r w:rsidR="00044CE7">
              <w:t>14,0</w:t>
            </w:r>
          </w:p>
        </w:tc>
        <w:tc>
          <w:tcPr>
            <w:tcW w:w="1871" w:type="dxa"/>
          </w:tcPr>
          <w:p w:rsidR="00A44634" w:rsidRDefault="00044CE7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56,0</w:t>
            </w:r>
            <w:r w:rsidR="006B2D44">
              <w:br/>
            </w:r>
            <w:r>
              <w:t>19,4</w:t>
            </w:r>
            <w:r w:rsidR="006B2D44">
              <w:br/>
              <w:t>-1</w:t>
            </w:r>
            <w:r>
              <w:t>6</w:t>
            </w:r>
            <w:r w:rsidR="006B2D44">
              <w:t>,5</w:t>
            </w:r>
            <w:r w:rsidR="006B2D44">
              <w:br/>
              <w:t>4</w:t>
            </w:r>
            <w:r>
              <w:t>3</w:t>
            </w:r>
            <w:r w:rsidR="006B2D44">
              <w:t>,</w:t>
            </w:r>
            <w:r>
              <w:t>9</w:t>
            </w:r>
            <w:r w:rsidR="006B2D44">
              <w:br/>
            </w:r>
            <w:r>
              <w:t>9,2</w:t>
            </w:r>
          </w:p>
        </w:tc>
        <w:tc>
          <w:tcPr>
            <w:tcW w:w="1871" w:type="dxa"/>
          </w:tcPr>
          <w:p w:rsidR="00A44634" w:rsidRDefault="00A44634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Ergebnis vor Steuern (EBT)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83,9</w:t>
            </w:r>
          </w:p>
        </w:tc>
        <w:tc>
          <w:tcPr>
            <w:tcW w:w="1871" w:type="dxa"/>
          </w:tcPr>
          <w:p w:rsidR="00C17496" w:rsidRPr="00A15613" w:rsidRDefault="00044CE7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Konzernergebnis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6</w:t>
            </w:r>
            <w:r>
              <w:rPr>
                <w:b/>
              </w:rPr>
              <w:t>4</w:t>
            </w:r>
            <w:r w:rsidRPr="00A15613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871" w:type="dxa"/>
          </w:tcPr>
          <w:p w:rsidR="00C17496" w:rsidRPr="00A15613" w:rsidRDefault="00044CE7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Ergebnis je Aktie in €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3,</w:t>
            </w:r>
            <w:r>
              <w:rPr>
                <w:b/>
              </w:rPr>
              <w:t>86</w:t>
            </w:r>
          </w:p>
        </w:tc>
        <w:tc>
          <w:tcPr>
            <w:tcW w:w="1871" w:type="dxa"/>
          </w:tcPr>
          <w:p w:rsidR="00C17496" w:rsidRPr="00A15613" w:rsidRDefault="00044CE7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2,31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Cashflow aus betrieblicher</w:t>
            </w:r>
            <w:r>
              <w:br/>
              <w:t>Geschäftstätigkeit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66,3</w:t>
            </w:r>
          </w:p>
        </w:tc>
        <w:tc>
          <w:tcPr>
            <w:tcW w:w="1871" w:type="dxa"/>
          </w:tcPr>
          <w:p w:rsidR="00C17496" w:rsidRPr="00A15613" w:rsidRDefault="00044CE7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-7,9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Bilanzsumme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1.17</w:t>
            </w:r>
            <w:r>
              <w:rPr>
                <w:b/>
              </w:rPr>
              <w:t>8</w:t>
            </w:r>
            <w:r w:rsidRPr="00A15613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871" w:type="dxa"/>
          </w:tcPr>
          <w:p w:rsidR="00C17496" w:rsidRPr="00A15613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1.</w:t>
            </w:r>
            <w:r w:rsidR="00044CE7">
              <w:rPr>
                <w:b/>
              </w:rPr>
              <w:t>343,1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Eigenkapital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4</w:t>
            </w:r>
            <w:r>
              <w:rPr>
                <w:b/>
              </w:rPr>
              <w:t>53</w:t>
            </w:r>
            <w:r w:rsidRPr="00A1561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:rsidR="00C17496" w:rsidRPr="00A15613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4</w:t>
            </w:r>
            <w:r w:rsidR="00044CE7">
              <w:rPr>
                <w:b/>
              </w:rPr>
              <w:t>60</w:t>
            </w:r>
            <w:r w:rsidRPr="00A1561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7496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C17496" w:rsidRDefault="00C17496" w:rsidP="00C17496">
            <w:pPr>
              <w:spacing w:after="240"/>
            </w:pPr>
            <w:r>
              <w:t>Mitarbeiter (31. Dezember)</w:t>
            </w:r>
            <w:r>
              <w:br/>
            </w:r>
            <w:r w:rsidRPr="00A44634">
              <w:rPr>
                <w:b w:val="0"/>
              </w:rPr>
              <w:t>davon Auszubildende/Praktika</w:t>
            </w:r>
            <w:r>
              <w:rPr>
                <w:b w:val="0"/>
              </w:rPr>
              <w:t>n</w:t>
            </w:r>
            <w:r w:rsidRPr="00A44634">
              <w:rPr>
                <w:b w:val="0"/>
              </w:rPr>
              <w:t>ten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5.729</w:t>
            </w:r>
            <w:r w:rsidRPr="00A15613">
              <w:rPr>
                <w:b/>
              </w:rPr>
              <w:br/>
            </w:r>
            <w:r w:rsidRPr="00A15613">
              <w:t>337</w:t>
            </w:r>
          </w:p>
        </w:tc>
        <w:tc>
          <w:tcPr>
            <w:tcW w:w="1871" w:type="dxa"/>
          </w:tcPr>
          <w:p w:rsidR="00C17496" w:rsidRPr="00A15613" w:rsidRDefault="00C17496" w:rsidP="00044CE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5.</w:t>
            </w:r>
            <w:r w:rsidR="00044CE7">
              <w:rPr>
                <w:b/>
              </w:rPr>
              <w:t>823</w:t>
            </w:r>
            <w:r w:rsidRPr="00A15613">
              <w:rPr>
                <w:b/>
              </w:rPr>
              <w:br/>
            </w:r>
            <w:r w:rsidRPr="00A15613">
              <w:t>3</w:t>
            </w:r>
            <w:r w:rsidR="00044CE7">
              <w:t>56</w:t>
            </w:r>
          </w:p>
        </w:tc>
        <w:tc>
          <w:tcPr>
            <w:tcW w:w="1871" w:type="dxa"/>
          </w:tcPr>
          <w:p w:rsidR="00C17496" w:rsidRPr="00A15613" w:rsidRDefault="00C17496" w:rsidP="00C17496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C73CA" w:rsidRPr="00A44634" w:rsidRDefault="00EC73CA" w:rsidP="00A44634">
      <w:pPr>
        <w:spacing w:after="240"/>
      </w:pPr>
    </w:p>
    <w:sectPr w:rsidR="00EC73CA" w:rsidRPr="00A44634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B7" w:rsidRDefault="002E0BB7" w:rsidP="00647A4F">
      <w:pPr>
        <w:spacing w:after="240"/>
      </w:pPr>
      <w:r>
        <w:separator/>
      </w:r>
    </w:p>
    <w:p w:rsidR="002E0BB7" w:rsidRDefault="002E0BB7" w:rsidP="00647A4F">
      <w:pPr>
        <w:spacing w:after="240"/>
      </w:pPr>
    </w:p>
  </w:endnote>
  <w:endnote w:type="continuationSeparator" w:id="0">
    <w:p w:rsidR="002E0BB7" w:rsidRDefault="002E0BB7" w:rsidP="00647A4F">
      <w:pPr>
        <w:spacing w:after="240"/>
      </w:pPr>
      <w:r>
        <w:continuationSeparator/>
      </w:r>
    </w:p>
    <w:p w:rsidR="002E0BB7" w:rsidRDefault="002E0BB7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Default="002E0BB7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Pr="00F82B5C" w:rsidRDefault="00A409A8" w:rsidP="00182744">
    <w:pPr>
      <w:pStyle w:val="Fuzeile"/>
      <w:spacing w:after="240"/>
    </w:pPr>
    <w:sdt>
      <w:sdtPr>
        <w:alias w:val="Titel"/>
        <w:tag w:val="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0BB7">
          <w:t>Koenig &amp; Bauer veröffentlicht Geschäftsbericht 2019: Auf Zukunftskurs</w:t>
        </w:r>
      </w:sdtContent>
    </w:sdt>
    <w:r w:rsidR="002E0BB7">
      <w:t xml:space="preserve"> | </w:t>
    </w:r>
    <w:r w:rsidR="002E0BB7">
      <w:fldChar w:fldCharType="begin"/>
    </w:r>
    <w:r w:rsidR="002E0BB7">
      <w:instrText xml:space="preserve"> PAGE </w:instrText>
    </w:r>
    <w:r w:rsidR="002E0BB7">
      <w:fldChar w:fldCharType="separate"/>
    </w:r>
    <w:r>
      <w:t>1</w:t>
    </w:r>
    <w:r w:rsidR="002E0BB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Default="00A409A8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0BB7">
          <w:t>Koenig &amp; Bauer veröffentlicht Geschäftsbericht 2019: Auf Zukunftskurs</w:t>
        </w:r>
      </w:sdtContent>
    </w:sdt>
    <w:r w:rsidR="002E0BB7">
      <w:t xml:space="preserve"> | </w:t>
    </w:r>
    <w:r w:rsidR="002E0BB7">
      <w:fldChar w:fldCharType="begin"/>
    </w:r>
    <w:r w:rsidR="002E0BB7">
      <w:instrText xml:space="preserve"> PAGE </w:instrText>
    </w:r>
    <w:r w:rsidR="002E0BB7">
      <w:fldChar w:fldCharType="separate"/>
    </w:r>
    <w:r w:rsidR="002E0BB7">
      <w:t>1</w:t>
    </w:r>
    <w:r w:rsidR="002E0BB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B7" w:rsidRDefault="002E0BB7" w:rsidP="00647A4F">
      <w:pPr>
        <w:spacing w:after="240"/>
      </w:pPr>
      <w:r>
        <w:separator/>
      </w:r>
    </w:p>
  </w:footnote>
  <w:footnote w:type="continuationSeparator" w:id="0">
    <w:p w:rsidR="002E0BB7" w:rsidRDefault="002E0BB7" w:rsidP="00647A4F">
      <w:pPr>
        <w:spacing w:after="240"/>
      </w:pPr>
      <w:r>
        <w:continuationSeparator/>
      </w:r>
    </w:p>
    <w:p w:rsidR="002E0BB7" w:rsidRDefault="002E0BB7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Default="002E0BB7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Default="002E0BB7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7" w:rsidRPr="000B7CEC" w:rsidRDefault="002E0BB7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>
    <w:nsid w:val="217827A3"/>
    <w:multiLevelType w:val="hybridMultilevel"/>
    <w:tmpl w:val="7EB0B634"/>
    <w:lvl w:ilvl="0" w:tplc="79AA0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0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69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C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0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0458C9"/>
    <w:multiLevelType w:val="hybridMultilevel"/>
    <w:tmpl w:val="9BAED4E8"/>
    <w:lvl w:ilvl="0" w:tplc="7CE27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D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6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A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8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48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6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8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C6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1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2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4">
    <w:nsid w:val="6E1A1AF4"/>
    <w:multiLevelType w:val="hybridMultilevel"/>
    <w:tmpl w:val="5ADADB7A"/>
    <w:lvl w:ilvl="0" w:tplc="54C43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0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A4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8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2F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E6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A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7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C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15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7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5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1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8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56"/>
    <w:rsid w:val="0000051F"/>
    <w:rsid w:val="00002FD9"/>
    <w:rsid w:val="00044CE7"/>
    <w:rsid w:val="00051F1D"/>
    <w:rsid w:val="00056DB6"/>
    <w:rsid w:val="000706A2"/>
    <w:rsid w:val="000A70ED"/>
    <w:rsid w:val="000B7CEC"/>
    <w:rsid w:val="000C49F7"/>
    <w:rsid w:val="000C511A"/>
    <w:rsid w:val="000C534C"/>
    <w:rsid w:val="000D1507"/>
    <w:rsid w:val="000E431A"/>
    <w:rsid w:val="00116A26"/>
    <w:rsid w:val="00133BCF"/>
    <w:rsid w:val="00163241"/>
    <w:rsid w:val="0016411F"/>
    <w:rsid w:val="0016774E"/>
    <w:rsid w:val="00174743"/>
    <w:rsid w:val="001807EE"/>
    <w:rsid w:val="00182744"/>
    <w:rsid w:val="001B5BAA"/>
    <w:rsid w:val="001B747C"/>
    <w:rsid w:val="001C394D"/>
    <w:rsid w:val="001E5034"/>
    <w:rsid w:val="001E5ABB"/>
    <w:rsid w:val="001F5D76"/>
    <w:rsid w:val="00204EAE"/>
    <w:rsid w:val="0021638F"/>
    <w:rsid w:val="002175CB"/>
    <w:rsid w:val="0022027F"/>
    <w:rsid w:val="00262470"/>
    <w:rsid w:val="00265400"/>
    <w:rsid w:val="0027081D"/>
    <w:rsid w:val="00282128"/>
    <w:rsid w:val="002A5D4F"/>
    <w:rsid w:val="002B77B3"/>
    <w:rsid w:val="002C05E4"/>
    <w:rsid w:val="002C2D02"/>
    <w:rsid w:val="002E0BB7"/>
    <w:rsid w:val="002E1AB6"/>
    <w:rsid w:val="002E3557"/>
    <w:rsid w:val="00317BB5"/>
    <w:rsid w:val="0032056E"/>
    <w:rsid w:val="003302F2"/>
    <w:rsid w:val="00356744"/>
    <w:rsid w:val="00360F64"/>
    <w:rsid w:val="00382047"/>
    <w:rsid w:val="003845EF"/>
    <w:rsid w:val="003A0BCE"/>
    <w:rsid w:val="003B7A63"/>
    <w:rsid w:val="003D1D5D"/>
    <w:rsid w:val="00413B84"/>
    <w:rsid w:val="0041506E"/>
    <w:rsid w:val="004158D7"/>
    <w:rsid w:val="00430F64"/>
    <w:rsid w:val="00432025"/>
    <w:rsid w:val="00432594"/>
    <w:rsid w:val="00442A04"/>
    <w:rsid w:val="00451F82"/>
    <w:rsid w:val="00453792"/>
    <w:rsid w:val="004628E4"/>
    <w:rsid w:val="004676E1"/>
    <w:rsid w:val="00470F72"/>
    <w:rsid w:val="004B1583"/>
    <w:rsid w:val="004B210E"/>
    <w:rsid w:val="004B5DBB"/>
    <w:rsid w:val="004E33CC"/>
    <w:rsid w:val="004E6239"/>
    <w:rsid w:val="00522321"/>
    <w:rsid w:val="00524C68"/>
    <w:rsid w:val="00533745"/>
    <w:rsid w:val="0055123F"/>
    <w:rsid w:val="00553D24"/>
    <w:rsid w:val="005552AB"/>
    <w:rsid w:val="00563C4E"/>
    <w:rsid w:val="0057450D"/>
    <w:rsid w:val="00581FA3"/>
    <w:rsid w:val="00584EAD"/>
    <w:rsid w:val="005865F5"/>
    <w:rsid w:val="005A1925"/>
    <w:rsid w:val="005A281B"/>
    <w:rsid w:val="005B1FCC"/>
    <w:rsid w:val="005E1ABB"/>
    <w:rsid w:val="005E5705"/>
    <w:rsid w:val="005F3C60"/>
    <w:rsid w:val="005F53EE"/>
    <w:rsid w:val="00614D7E"/>
    <w:rsid w:val="0063340E"/>
    <w:rsid w:val="00647A4F"/>
    <w:rsid w:val="00673988"/>
    <w:rsid w:val="00677B21"/>
    <w:rsid w:val="00697DB1"/>
    <w:rsid w:val="006A7C35"/>
    <w:rsid w:val="006B2D44"/>
    <w:rsid w:val="006D36FD"/>
    <w:rsid w:val="006F188D"/>
    <w:rsid w:val="00704DFC"/>
    <w:rsid w:val="00722296"/>
    <w:rsid w:val="00733B90"/>
    <w:rsid w:val="0074617A"/>
    <w:rsid w:val="00747E2C"/>
    <w:rsid w:val="00781882"/>
    <w:rsid w:val="00787DD5"/>
    <w:rsid w:val="007A0146"/>
    <w:rsid w:val="007A1916"/>
    <w:rsid w:val="007C51CA"/>
    <w:rsid w:val="007C5289"/>
    <w:rsid w:val="007C5C86"/>
    <w:rsid w:val="007D0BC7"/>
    <w:rsid w:val="007E23ED"/>
    <w:rsid w:val="007F034C"/>
    <w:rsid w:val="00854099"/>
    <w:rsid w:val="008619F3"/>
    <w:rsid w:val="00866F90"/>
    <w:rsid w:val="00886F29"/>
    <w:rsid w:val="008A14C6"/>
    <w:rsid w:val="008A283B"/>
    <w:rsid w:val="008B6066"/>
    <w:rsid w:val="008C2BC0"/>
    <w:rsid w:val="008C5FFE"/>
    <w:rsid w:val="00913C29"/>
    <w:rsid w:val="00915E8A"/>
    <w:rsid w:val="009229D0"/>
    <w:rsid w:val="00953661"/>
    <w:rsid w:val="00975E61"/>
    <w:rsid w:val="009870F4"/>
    <w:rsid w:val="009B10BB"/>
    <w:rsid w:val="009E29CD"/>
    <w:rsid w:val="009E7CEF"/>
    <w:rsid w:val="00A052E4"/>
    <w:rsid w:val="00A10D03"/>
    <w:rsid w:val="00A112E7"/>
    <w:rsid w:val="00A15613"/>
    <w:rsid w:val="00A207E9"/>
    <w:rsid w:val="00A241F4"/>
    <w:rsid w:val="00A330C0"/>
    <w:rsid w:val="00A37572"/>
    <w:rsid w:val="00A409A8"/>
    <w:rsid w:val="00A44634"/>
    <w:rsid w:val="00A51F76"/>
    <w:rsid w:val="00A561D4"/>
    <w:rsid w:val="00A601FE"/>
    <w:rsid w:val="00A60D90"/>
    <w:rsid w:val="00A669E1"/>
    <w:rsid w:val="00A77974"/>
    <w:rsid w:val="00A86E07"/>
    <w:rsid w:val="00A94015"/>
    <w:rsid w:val="00A95799"/>
    <w:rsid w:val="00AA6529"/>
    <w:rsid w:val="00AF4C5F"/>
    <w:rsid w:val="00B06C8C"/>
    <w:rsid w:val="00B12E5B"/>
    <w:rsid w:val="00B51520"/>
    <w:rsid w:val="00B51FA3"/>
    <w:rsid w:val="00B622F0"/>
    <w:rsid w:val="00B66B5F"/>
    <w:rsid w:val="00B92DC7"/>
    <w:rsid w:val="00BA3329"/>
    <w:rsid w:val="00BC4F56"/>
    <w:rsid w:val="00BF6AC1"/>
    <w:rsid w:val="00C06B94"/>
    <w:rsid w:val="00C1069D"/>
    <w:rsid w:val="00C17496"/>
    <w:rsid w:val="00C275C9"/>
    <w:rsid w:val="00C66DA1"/>
    <w:rsid w:val="00C97C18"/>
    <w:rsid w:val="00CC57C9"/>
    <w:rsid w:val="00CD0A11"/>
    <w:rsid w:val="00CD5277"/>
    <w:rsid w:val="00CE7598"/>
    <w:rsid w:val="00D05BF0"/>
    <w:rsid w:val="00D23C2E"/>
    <w:rsid w:val="00D37C08"/>
    <w:rsid w:val="00D430A8"/>
    <w:rsid w:val="00D52424"/>
    <w:rsid w:val="00D66283"/>
    <w:rsid w:val="00D70659"/>
    <w:rsid w:val="00D87652"/>
    <w:rsid w:val="00D95359"/>
    <w:rsid w:val="00DA26EA"/>
    <w:rsid w:val="00DA7970"/>
    <w:rsid w:val="00DC7376"/>
    <w:rsid w:val="00DD406D"/>
    <w:rsid w:val="00DF560B"/>
    <w:rsid w:val="00E1738C"/>
    <w:rsid w:val="00E30EBC"/>
    <w:rsid w:val="00E75308"/>
    <w:rsid w:val="00E7632B"/>
    <w:rsid w:val="00E84071"/>
    <w:rsid w:val="00E9379C"/>
    <w:rsid w:val="00EA1A60"/>
    <w:rsid w:val="00EB3888"/>
    <w:rsid w:val="00EC73CA"/>
    <w:rsid w:val="00EF5293"/>
    <w:rsid w:val="00F01893"/>
    <w:rsid w:val="00F5748A"/>
    <w:rsid w:val="00F63846"/>
    <w:rsid w:val="00F72EBD"/>
    <w:rsid w:val="00F82B5C"/>
    <w:rsid w:val="00F84F59"/>
    <w:rsid w:val="00F9022B"/>
    <w:rsid w:val="00FA2046"/>
    <w:rsid w:val="00FA5ACD"/>
    <w:rsid w:val="00FB2E09"/>
    <w:rsid w:val="00FB38C5"/>
    <w:rsid w:val="00FB7156"/>
    <w:rsid w:val="00FC73CA"/>
    <w:rsid w:val="00FE281D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4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Ind w:w="0" w:type="dxa"/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customStyle="1" w:styleId="Flietext">
    <w:name w:val="Fließtext"/>
    <w:uiPriority w:val="99"/>
    <w:rsid w:val="007C51CA"/>
    <w:pPr>
      <w:tabs>
        <w:tab w:val="left" w:pos="283"/>
        <w:tab w:val="left" w:pos="7938"/>
      </w:tabs>
      <w:autoSpaceDE w:val="0"/>
      <w:autoSpaceDN w:val="0"/>
      <w:spacing w:after="0" w:line="360" w:lineRule="auto"/>
      <w:ind w:right="792"/>
    </w:pPr>
    <w:rPr>
      <w:rFonts w:ascii="Geneva" w:eastAsia="Times New Roman" w:hAnsi="Geneva" w:cs="Geneva"/>
      <w:color w:val="000000"/>
      <w:spacing w:val="-35"/>
      <w:sz w:val="17"/>
      <w:szCs w:val="1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4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Ind w:w="0" w:type="dxa"/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customStyle="1" w:styleId="Flietext">
    <w:name w:val="Fließtext"/>
    <w:uiPriority w:val="99"/>
    <w:rsid w:val="007C51CA"/>
    <w:pPr>
      <w:tabs>
        <w:tab w:val="left" w:pos="283"/>
        <w:tab w:val="left" w:pos="7938"/>
      </w:tabs>
      <w:autoSpaceDE w:val="0"/>
      <w:autoSpaceDN w:val="0"/>
      <w:spacing w:after="0" w:line="360" w:lineRule="auto"/>
      <w:ind w:right="792"/>
    </w:pPr>
    <w:rPr>
      <w:rFonts w:ascii="Geneva" w:eastAsia="Times New Roman" w:hAnsi="Geneva" w:cs="Geneva"/>
      <w:color w:val="000000"/>
      <w:spacing w:val="-35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74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nd.heusinger@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FD93-A217-4D6F-ABBD-A66EE09A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Koenig &amp; Bauer veröffentlicht Geschäftsbericht 2019: Auf Zukunftskurs</vt:lpstr>
    </vt:vector>
  </TitlesOfParts>
  <Company>Koenig &amp; Bauer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Koenig &amp; Bauer veröffentlicht Geschäftsbericht 2019: Auf Zukunftskurs</dc:title>
  <dc:creator>Bausenwein, Linda (ZM)</dc:creator>
  <dc:description>Optimiert für Word 2016</dc:description>
  <cp:lastModifiedBy>Heusinger, Bernd (VMV)</cp:lastModifiedBy>
  <cp:revision>27</cp:revision>
  <dcterms:created xsi:type="dcterms:W3CDTF">2019-03-17T10:57:00Z</dcterms:created>
  <dcterms:modified xsi:type="dcterms:W3CDTF">2020-03-18T13:58:00Z</dcterms:modified>
</cp:coreProperties>
</file>