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E4E94" w14:textId="77777777" w:rsidR="00C75ADD" w:rsidRDefault="00C75ADD" w:rsidP="00801D89">
      <w:pPr>
        <w:pStyle w:val="Titel"/>
        <w:spacing w:line="276" w:lineRule="auto"/>
        <w:rPr>
          <w:lang w:val="de-DE"/>
        </w:rPr>
      </w:pPr>
      <w:bookmarkStart w:id="0" w:name="_gjdgxs" w:colFirst="0" w:colLast="0"/>
      <w:bookmarkEnd w:id="0"/>
      <w:r w:rsidRPr="00774429">
        <w:rPr>
          <w:lang w:val="de-DE"/>
        </w:rPr>
        <w:t>Presseinformation</w:t>
      </w:r>
      <w:r w:rsidRPr="00E4444A">
        <w:rPr>
          <w:lang w:val="de-DE"/>
        </w:rPr>
        <w:t xml:space="preserve"> </w:t>
      </w:r>
      <w:bookmarkStart w:id="1" w:name="_37q07cp91crq" w:colFirst="0" w:colLast="0"/>
      <w:bookmarkEnd w:id="1"/>
    </w:p>
    <w:p w14:paraId="02D7964D" w14:textId="409CDB21" w:rsidR="007667F6" w:rsidRPr="009D6CA7" w:rsidRDefault="00C75ADD" w:rsidP="004F5318">
      <w:pPr>
        <w:rPr>
          <w:b/>
          <w:color w:val="002355"/>
          <w:sz w:val="40"/>
          <w:szCs w:val="40"/>
          <w:lang w:val="de-DE"/>
        </w:rPr>
      </w:pPr>
      <w:proofErr w:type="spellStart"/>
      <w:r w:rsidRPr="00DD6072">
        <w:rPr>
          <w:b/>
          <w:color w:val="002355"/>
          <w:sz w:val="40"/>
          <w:szCs w:val="40"/>
          <w:lang w:val="de-DE"/>
        </w:rPr>
        <w:t>Koenig</w:t>
      </w:r>
      <w:proofErr w:type="spellEnd"/>
      <w:r w:rsidRPr="00DD6072">
        <w:rPr>
          <w:b/>
          <w:color w:val="002355"/>
          <w:sz w:val="40"/>
          <w:szCs w:val="40"/>
          <w:lang w:val="de-DE"/>
        </w:rPr>
        <w:t xml:space="preserve"> &amp; Bauer </w:t>
      </w:r>
      <w:r w:rsidR="00006F3B">
        <w:rPr>
          <w:b/>
          <w:color w:val="002355"/>
          <w:sz w:val="40"/>
          <w:szCs w:val="40"/>
          <w:lang w:val="de-DE"/>
        </w:rPr>
        <w:t xml:space="preserve">bestätigt </w:t>
      </w:r>
      <w:proofErr w:type="spellStart"/>
      <w:r w:rsidR="00006F3B">
        <w:rPr>
          <w:b/>
          <w:color w:val="002355"/>
          <w:sz w:val="40"/>
          <w:szCs w:val="40"/>
          <w:lang w:val="de-DE"/>
        </w:rPr>
        <w:t>Mittelfristguidance</w:t>
      </w:r>
      <w:proofErr w:type="spellEnd"/>
      <w:r w:rsidR="00006F3B">
        <w:rPr>
          <w:b/>
          <w:color w:val="002355"/>
          <w:sz w:val="40"/>
          <w:szCs w:val="40"/>
          <w:lang w:val="de-DE"/>
        </w:rPr>
        <w:t xml:space="preserve"> </w:t>
      </w:r>
      <w:r w:rsidR="00982D50">
        <w:rPr>
          <w:b/>
          <w:color w:val="002355"/>
          <w:sz w:val="40"/>
          <w:szCs w:val="40"/>
          <w:lang w:val="de-DE"/>
        </w:rPr>
        <w:t>und erwartet ein EBIT von 25-35 Mio. € in 2023</w:t>
      </w:r>
      <w:r w:rsidR="007C1790">
        <w:rPr>
          <w:b/>
          <w:color w:val="002355"/>
          <w:sz w:val="40"/>
          <w:szCs w:val="40"/>
          <w:lang w:val="de-DE"/>
        </w:rPr>
        <w:br/>
      </w:r>
    </w:p>
    <w:p w14:paraId="7F68A10D" w14:textId="77777777" w:rsidR="00425F3C" w:rsidRDefault="00961105" w:rsidP="004F5318">
      <w:pPr>
        <w:pStyle w:val="Listenabsatz"/>
        <w:numPr>
          <w:ilvl w:val="0"/>
          <w:numId w:val="1"/>
        </w:numPr>
        <w:rPr>
          <w:sz w:val="24"/>
          <w:szCs w:val="24"/>
          <w:lang w:val="de-DE"/>
        </w:rPr>
      </w:pPr>
      <w:r w:rsidRPr="00961105">
        <w:rPr>
          <w:sz w:val="24"/>
          <w:szCs w:val="24"/>
          <w:lang w:val="de-DE"/>
        </w:rPr>
        <w:t>Geschäfts</w:t>
      </w:r>
      <w:r w:rsidR="007C1790">
        <w:rPr>
          <w:sz w:val="24"/>
          <w:szCs w:val="24"/>
          <w:lang w:val="de-DE"/>
        </w:rPr>
        <w:t xml:space="preserve">jahr 2023 </w:t>
      </w:r>
      <w:r w:rsidR="005279E2">
        <w:rPr>
          <w:sz w:val="24"/>
          <w:szCs w:val="24"/>
          <w:lang w:val="de-DE"/>
        </w:rPr>
        <w:t xml:space="preserve">soll mit einem </w:t>
      </w:r>
      <w:r w:rsidR="007C1790" w:rsidRPr="005279E2">
        <w:rPr>
          <w:sz w:val="24"/>
          <w:szCs w:val="24"/>
          <w:lang w:val="de-DE"/>
        </w:rPr>
        <w:t>EBIT von 25-35 Mio. € bei einem Umsatz von rund 1,3 Mrd. €</w:t>
      </w:r>
      <w:r w:rsidR="00674118" w:rsidRPr="005279E2">
        <w:rPr>
          <w:sz w:val="24"/>
          <w:szCs w:val="24"/>
          <w:lang w:val="de-DE"/>
        </w:rPr>
        <w:t xml:space="preserve"> </w:t>
      </w:r>
      <w:r w:rsidR="005279E2">
        <w:rPr>
          <w:sz w:val="24"/>
          <w:szCs w:val="24"/>
          <w:lang w:val="de-DE"/>
        </w:rPr>
        <w:t>schwächer ausfallen als bisher angenommen</w:t>
      </w:r>
    </w:p>
    <w:p w14:paraId="105D66B6" w14:textId="559AB714" w:rsidR="007C1790" w:rsidRPr="005279E2" w:rsidRDefault="00425F3C" w:rsidP="004F5318">
      <w:pPr>
        <w:pStyle w:val="Listenabsatz"/>
        <w:numPr>
          <w:ilvl w:val="0"/>
          <w:numId w:val="1"/>
        </w:numPr>
        <w:rPr>
          <w:sz w:val="24"/>
          <w:szCs w:val="24"/>
          <w:lang w:val="de-DE"/>
        </w:rPr>
      </w:pPr>
      <w:r>
        <w:rPr>
          <w:sz w:val="24"/>
          <w:szCs w:val="24"/>
          <w:lang w:val="de-DE"/>
        </w:rPr>
        <w:t xml:space="preserve">Strategische Wachstumsfelder </w:t>
      </w:r>
      <w:r w:rsidR="001A1C7A">
        <w:rPr>
          <w:sz w:val="24"/>
          <w:szCs w:val="24"/>
          <w:lang w:val="de-DE"/>
        </w:rPr>
        <w:t xml:space="preserve">im Wachstumsmarkt Verpackungsdruck </w:t>
      </w:r>
      <w:r>
        <w:rPr>
          <w:sz w:val="24"/>
          <w:szCs w:val="24"/>
          <w:lang w:val="de-DE"/>
        </w:rPr>
        <w:t>sichern Mittelfrist</w:t>
      </w:r>
      <w:r w:rsidR="00B7191E">
        <w:rPr>
          <w:sz w:val="24"/>
          <w:szCs w:val="24"/>
          <w:lang w:val="de-DE"/>
        </w:rPr>
        <w:t xml:space="preserve">ziele </w:t>
      </w:r>
      <w:r w:rsidR="007C1790" w:rsidRPr="005279E2">
        <w:rPr>
          <w:sz w:val="24"/>
          <w:szCs w:val="24"/>
          <w:lang w:val="de-DE"/>
        </w:rPr>
        <w:t xml:space="preserve"> </w:t>
      </w:r>
    </w:p>
    <w:p w14:paraId="08208703" w14:textId="00C577A7" w:rsidR="001A1C7A" w:rsidRDefault="00EC762D" w:rsidP="004F5318">
      <w:pPr>
        <w:pStyle w:val="Listenabsatz"/>
        <w:numPr>
          <w:ilvl w:val="0"/>
          <w:numId w:val="1"/>
        </w:numPr>
        <w:rPr>
          <w:sz w:val="24"/>
          <w:szCs w:val="24"/>
          <w:lang w:val="de-DE"/>
        </w:rPr>
      </w:pPr>
      <w:r w:rsidRPr="00674118">
        <w:rPr>
          <w:sz w:val="24"/>
          <w:szCs w:val="24"/>
          <w:lang w:val="de-DE"/>
        </w:rPr>
        <w:t xml:space="preserve">Auftragseingänge nach </w:t>
      </w:r>
      <w:r>
        <w:rPr>
          <w:sz w:val="24"/>
          <w:szCs w:val="24"/>
          <w:lang w:val="de-DE"/>
        </w:rPr>
        <w:t>9-</w:t>
      </w:r>
      <w:r w:rsidRPr="00674118">
        <w:rPr>
          <w:sz w:val="24"/>
          <w:szCs w:val="24"/>
          <w:lang w:val="de-DE"/>
        </w:rPr>
        <w:t>Monaten bei 831,3 Mio. € (</w:t>
      </w:r>
      <w:proofErr w:type="spellStart"/>
      <w:r w:rsidRPr="00674118">
        <w:rPr>
          <w:sz w:val="24"/>
          <w:szCs w:val="24"/>
          <w:lang w:val="de-DE"/>
        </w:rPr>
        <w:t>Vj</w:t>
      </w:r>
      <w:proofErr w:type="spellEnd"/>
      <w:r w:rsidRPr="00674118">
        <w:rPr>
          <w:sz w:val="24"/>
          <w:szCs w:val="24"/>
          <w:lang w:val="de-DE"/>
        </w:rPr>
        <w:t>.</w:t>
      </w:r>
      <w:r>
        <w:rPr>
          <w:sz w:val="24"/>
          <w:szCs w:val="24"/>
          <w:lang w:val="de-DE"/>
        </w:rPr>
        <w:t>: 1.025,9 Mio. €)</w:t>
      </w:r>
      <w:r w:rsidR="001A1C7A">
        <w:rPr>
          <w:sz w:val="24"/>
          <w:szCs w:val="24"/>
          <w:lang w:val="de-DE"/>
        </w:rPr>
        <w:t xml:space="preserve">; </w:t>
      </w:r>
      <w:r w:rsidR="001A1C7A" w:rsidRPr="001A1C7A">
        <w:rPr>
          <w:sz w:val="24"/>
          <w:szCs w:val="24"/>
          <w:lang w:val="de-DE"/>
        </w:rPr>
        <w:t xml:space="preserve">Q3 Auftragseingang </w:t>
      </w:r>
      <w:r w:rsidR="001A1C7A">
        <w:rPr>
          <w:sz w:val="24"/>
          <w:szCs w:val="24"/>
          <w:lang w:val="de-DE"/>
        </w:rPr>
        <w:t xml:space="preserve">fällt </w:t>
      </w:r>
      <w:r w:rsidR="001A1C7A" w:rsidRPr="001A1C7A">
        <w:rPr>
          <w:sz w:val="24"/>
          <w:szCs w:val="24"/>
          <w:lang w:val="de-DE"/>
        </w:rPr>
        <w:t xml:space="preserve">in den Segmenten unterschiedlich aus </w:t>
      </w:r>
    </w:p>
    <w:p w14:paraId="436A92CF" w14:textId="7F66FB24" w:rsidR="00674118" w:rsidRPr="001A1C7A" w:rsidRDefault="00674118" w:rsidP="004F5318">
      <w:pPr>
        <w:pStyle w:val="Listenabsatz"/>
        <w:numPr>
          <w:ilvl w:val="0"/>
          <w:numId w:val="1"/>
        </w:numPr>
        <w:rPr>
          <w:sz w:val="24"/>
          <w:szCs w:val="24"/>
          <w:lang w:val="de-DE"/>
        </w:rPr>
      </w:pPr>
      <w:r w:rsidRPr="001A1C7A">
        <w:rPr>
          <w:sz w:val="24"/>
          <w:szCs w:val="24"/>
          <w:lang w:val="de-DE"/>
        </w:rPr>
        <w:t xml:space="preserve">Umsatzwachstum </w:t>
      </w:r>
      <w:r w:rsidR="00EC762D" w:rsidRPr="001A1C7A">
        <w:rPr>
          <w:sz w:val="24"/>
          <w:szCs w:val="24"/>
          <w:lang w:val="de-DE"/>
        </w:rPr>
        <w:t xml:space="preserve">von 10,6 % nach 9-Monaten </w:t>
      </w:r>
      <w:r w:rsidRPr="001A1C7A">
        <w:rPr>
          <w:sz w:val="24"/>
          <w:szCs w:val="24"/>
          <w:lang w:val="de-DE"/>
        </w:rPr>
        <w:t xml:space="preserve">in allen Segmenten </w:t>
      </w:r>
      <w:r w:rsidR="00EC762D" w:rsidRPr="001A1C7A">
        <w:rPr>
          <w:sz w:val="24"/>
          <w:szCs w:val="24"/>
          <w:lang w:val="de-DE"/>
        </w:rPr>
        <w:t>erzielt</w:t>
      </w:r>
      <w:r w:rsidR="001A1C7A">
        <w:rPr>
          <w:sz w:val="24"/>
          <w:szCs w:val="24"/>
          <w:lang w:val="de-DE"/>
        </w:rPr>
        <w:t xml:space="preserve">; </w:t>
      </w:r>
      <w:r w:rsidR="00801D89">
        <w:rPr>
          <w:sz w:val="24"/>
          <w:szCs w:val="24"/>
          <w:lang w:val="de-DE"/>
        </w:rPr>
        <w:t xml:space="preserve">Umsatz in Q3 mit -6,1 </w:t>
      </w:r>
      <w:r w:rsidRPr="001A1C7A">
        <w:rPr>
          <w:sz w:val="24"/>
          <w:szCs w:val="24"/>
          <w:lang w:val="de-DE"/>
        </w:rPr>
        <w:t>% rückläufig</w:t>
      </w:r>
    </w:p>
    <w:p w14:paraId="5CF3D4C5" w14:textId="38202044" w:rsidR="00E606DA" w:rsidRDefault="00E606DA" w:rsidP="004F5318">
      <w:pPr>
        <w:pStyle w:val="Listenabsatz"/>
        <w:numPr>
          <w:ilvl w:val="0"/>
          <w:numId w:val="1"/>
        </w:numPr>
        <w:rPr>
          <w:sz w:val="24"/>
          <w:szCs w:val="24"/>
          <w:lang w:val="de-DE"/>
        </w:rPr>
      </w:pPr>
      <w:r w:rsidRPr="00E606DA">
        <w:rPr>
          <w:sz w:val="24"/>
          <w:szCs w:val="24"/>
          <w:lang w:val="de-DE"/>
        </w:rPr>
        <w:t xml:space="preserve">EBIT nach </w:t>
      </w:r>
      <w:r>
        <w:rPr>
          <w:sz w:val="24"/>
          <w:szCs w:val="24"/>
          <w:lang w:val="de-DE"/>
        </w:rPr>
        <w:t>9-</w:t>
      </w:r>
      <w:r w:rsidRPr="00E606DA">
        <w:rPr>
          <w:sz w:val="24"/>
          <w:szCs w:val="24"/>
          <w:lang w:val="de-DE"/>
        </w:rPr>
        <w:t xml:space="preserve">Monaten </w:t>
      </w:r>
      <w:r>
        <w:rPr>
          <w:sz w:val="24"/>
          <w:szCs w:val="24"/>
          <w:lang w:val="de-DE"/>
        </w:rPr>
        <w:t xml:space="preserve">um 30,0 % auf </w:t>
      </w:r>
      <w:r w:rsidRPr="00E606DA">
        <w:rPr>
          <w:sz w:val="24"/>
          <w:szCs w:val="24"/>
          <w:lang w:val="de-DE"/>
        </w:rPr>
        <w:t xml:space="preserve">-2,1 Mio. € </w:t>
      </w:r>
      <w:r>
        <w:rPr>
          <w:sz w:val="24"/>
          <w:szCs w:val="24"/>
          <w:lang w:val="de-DE"/>
        </w:rPr>
        <w:t xml:space="preserve">verbessert; EBIT-Rückgang in Q3 von 10,8 Mio. € auf 3,3 Mio. € - </w:t>
      </w:r>
      <w:r w:rsidR="00F3634A">
        <w:rPr>
          <w:sz w:val="24"/>
          <w:szCs w:val="24"/>
          <w:lang w:val="de-DE"/>
        </w:rPr>
        <w:t>bei</w:t>
      </w:r>
      <w:r w:rsidR="00F3634A" w:rsidRPr="00E606DA">
        <w:rPr>
          <w:sz w:val="24"/>
          <w:szCs w:val="24"/>
          <w:lang w:val="de-DE"/>
        </w:rPr>
        <w:t xml:space="preserve"> </w:t>
      </w:r>
      <w:r w:rsidRPr="00E606DA">
        <w:rPr>
          <w:sz w:val="24"/>
          <w:szCs w:val="24"/>
          <w:lang w:val="de-DE"/>
        </w:rPr>
        <w:t>unterjährige</w:t>
      </w:r>
      <w:r w:rsidR="00F3634A">
        <w:rPr>
          <w:sz w:val="24"/>
          <w:szCs w:val="24"/>
          <w:lang w:val="de-DE"/>
        </w:rPr>
        <w:t>r</w:t>
      </w:r>
      <w:r w:rsidRPr="00E606DA">
        <w:rPr>
          <w:sz w:val="24"/>
          <w:szCs w:val="24"/>
          <w:lang w:val="de-DE"/>
        </w:rPr>
        <w:t xml:space="preserve"> Verbesserung </w:t>
      </w:r>
    </w:p>
    <w:p w14:paraId="664A836A" w14:textId="62A912F5" w:rsidR="005279E2" w:rsidRDefault="005279E2" w:rsidP="004F5318">
      <w:pPr>
        <w:pStyle w:val="Listenabsatz"/>
        <w:numPr>
          <w:ilvl w:val="0"/>
          <w:numId w:val="1"/>
        </w:numPr>
        <w:rPr>
          <w:sz w:val="24"/>
          <w:szCs w:val="24"/>
          <w:lang w:val="de-DE"/>
        </w:rPr>
      </w:pPr>
      <w:r w:rsidRPr="005279E2">
        <w:rPr>
          <w:sz w:val="24"/>
          <w:szCs w:val="24"/>
          <w:lang w:val="de-DE"/>
        </w:rPr>
        <w:t>500 M</w:t>
      </w:r>
      <w:r w:rsidR="00F3634A">
        <w:rPr>
          <w:sz w:val="24"/>
          <w:szCs w:val="24"/>
          <w:lang w:val="de-DE"/>
        </w:rPr>
        <w:t>io</w:t>
      </w:r>
      <w:r w:rsidR="00801D89">
        <w:rPr>
          <w:sz w:val="24"/>
          <w:szCs w:val="24"/>
          <w:lang w:val="de-DE"/>
        </w:rPr>
        <w:t>.</w:t>
      </w:r>
      <w:r w:rsidR="00F3634A">
        <w:rPr>
          <w:sz w:val="24"/>
          <w:szCs w:val="24"/>
          <w:lang w:val="de-DE"/>
        </w:rPr>
        <w:t xml:space="preserve"> €</w:t>
      </w:r>
      <w:r w:rsidRPr="005279E2">
        <w:rPr>
          <w:sz w:val="24"/>
          <w:szCs w:val="24"/>
          <w:lang w:val="de-DE"/>
        </w:rPr>
        <w:t xml:space="preserve"> Refinanzierung erfolgreich ab</w:t>
      </w:r>
      <w:r w:rsidR="00F3634A">
        <w:rPr>
          <w:sz w:val="24"/>
          <w:szCs w:val="24"/>
          <w:lang w:val="de-DE"/>
        </w:rPr>
        <w:t>geschlossen</w:t>
      </w:r>
    </w:p>
    <w:p w14:paraId="64F2A3BC" w14:textId="77777777" w:rsidR="00E606DA" w:rsidRDefault="00E606DA" w:rsidP="004F5318">
      <w:pPr>
        <w:rPr>
          <w:sz w:val="24"/>
          <w:szCs w:val="24"/>
          <w:lang w:val="de-DE"/>
        </w:rPr>
      </w:pPr>
    </w:p>
    <w:p w14:paraId="08EA163C" w14:textId="0491ADCA" w:rsidR="001A1C7A" w:rsidRDefault="00E606DA" w:rsidP="004F5318">
      <w:pPr>
        <w:rPr>
          <w:sz w:val="24"/>
          <w:szCs w:val="24"/>
          <w:lang w:val="de-DE"/>
        </w:rPr>
      </w:pPr>
      <w:r w:rsidRPr="00557F0F">
        <w:rPr>
          <w:b/>
          <w:color w:val="002060"/>
          <w:sz w:val="24"/>
          <w:szCs w:val="24"/>
          <w:lang w:val="de-DE"/>
        </w:rPr>
        <w:t>Würzburg, 08.11.2023</w:t>
      </w:r>
      <w:r>
        <w:rPr>
          <w:sz w:val="24"/>
          <w:szCs w:val="24"/>
          <w:lang w:val="de-DE"/>
        </w:rPr>
        <w:br/>
      </w:r>
      <w:r w:rsidRPr="00E606DA">
        <w:rPr>
          <w:sz w:val="24"/>
          <w:szCs w:val="24"/>
          <w:lang w:val="de-DE"/>
        </w:rPr>
        <w:t xml:space="preserve">Die </w:t>
      </w:r>
      <w:proofErr w:type="spellStart"/>
      <w:r w:rsidRPr="00E606DA">
        <w:rPr>
          <w:sz w:val="24"/>
          <w:szCs w:val="24"/>
          <w:lang w:val="de-DE"/>
        </w:rPr>
        <w:t>Koenig</w:t>
      </w:r>
      <w:proofErr w:type="spellEnd"/>
      <w:r w:rsidRPr="00E606DA">
        <w:rPr>
          <w:sz w:val="24"/>
          <w:szCs w:val="24"/>
          <w:lang w:val="de-DE"/>
        </w:rPr>
        <w:t xml:space="preserve"> &amp; Bauer AG, Würzburg („</w:t>
      </w:r>
      <w:proofErr w:type="spellStart"/>
      <w:r w:rsidRPr="00E606DA">
        <w:rPr>
          <w:sz w:val="24"/>
          <w:szCs w:val="24"/>
          <w:lang w:val="de-DE"/>
        </w:rPr>
        <w:t>Koenig</w:t>
      </w:r>
      <w:proofErr w:type="spellEnd"/>
      <w:r w:rsidRPr="00E606DA">
        <w:rPr>
          <w:sz w:val="24"/>
          <w:szCs w:val="24"/>
          <w:lang w:val="de-DE"/>
        </w:rPr>
        <w:t xml:space="preserve"> &amp; Bauer“, WKN: 719350 / ISIN: DE0007193500), ein weltweit führender Technologieanbieter mit dem Fokus auf Spezialdruckanwendungen, insbesondere im Verpackungsbereich, </w:t>
      </w:r>
      <w:r w:rsidR="005279E2">
        <w:rPr>
          <w:sz w:val="24"/>
          <w:szCs w:val="24"/>
          <w:lang w:val="de-DE"/>
        </w:rPr>
        <w:t xml:space="preserve">rechnet aufgrund </w:t>
      </w:r>
      <w:r w:rsidR="005279E2" w:rsidRPr="005279E2">
        <w:rPr>
          <w:sz w:val="24"/>
          <w:szCs w:val="24"/>
          <w:lang w:val="de-DE"/>
        </w:rPr>
        <w:t xml:space="preserve">der Zahlen für </w:t>
      </w:r>
      <w:r w:rsidR="005279E2">
        <w:rPr>
          <w:sz w:val="24"/>
          <w:szCs w:val="24"/>
          <w:lang w:val="de-DE"/>
        </w:rPr>
        <w:t xml:space="preserve">die ersten neun Monate </w:t>
      </w:r>
      <w:r w:rsidR="005279E2" w:rsidRPr="005279E2">
        <w:rPr>
          <w:sz w:val="24"/>
          <w:szCs w:val="24"/>
          <w:lang w:val="de-DE"/>
        </w:rPr>
        <w:t xml:space="preserve">und dem Ausblick auf </w:t>
      </w:r>
      <w:r w:rsidR="005279E2">
        <w:rPr>
          <w:sz w:val="24"/>
          <w:szCs w:val="24"/>
          <w:lang w:val="de-DE"/>
        </w:rPr>
        <w:t xml:space="preserve">das vierte Quartal mit einem </w:t>
      </w:r>
      <w:r w:rsidR="005279E2" w:rsidRPr="005279E2">
        <w:rPr>
          <w:sz w:val="24"/>
          <w:szCs w:val="24"/>
          <w:lang w:val="de-DE"/>
        </w:rPr>
        <w:t>schwächeren Geschäfts</w:t>
      </w:r>
      <w:r w:rsidR="00425F3C">
        <w:rPr>
          <w:sz w:val="24"/>
          <w:szCs w:val="24"/>
          <w:lang w:val="de-DE"/>
        </w:rPr>
        <w:t>jahr 2023 als bisher angenommen.</w:t>
      </w:r>
      <w:r w:rsidR="00E159F0">
        <w:rPr>
          <w:sz w:val="24"/>
          <w:szCs w:val="24"/>
          <w:lang w:val="de-DE"/>
        </w:rPr>
        <w:t xml:space="preserve"> </w:t>
      </w:r>
      <w:r w:rsidR="001A1C7A" w:rsidRPr="001A1C7A">
        <w:rPr>
          <w:sz w:val="24"/>
          <w:szCs w:val="24"/>
          <w:lang w:val="de-DE"/>
        </w:rPr>
        <w:t xml:space="preserve">Unter der Annahme, dass sich die Rahmenbedingungen nicht weiter eintrüben, geht </w:t>
      </w:r>
      <w:proofErr w:type="spellStart"/>
      <w:r w:rsidR="001A1C7A" w:rsidRPr="001A1C7A">
        <w:rPr>
          <w:sz w:val="24"/>
          <w:szCs w:val="24"/>
          <w:lang w:val="de-DE"/>
        </w:rPr>
        <w:t>Koenig</w:t>
      </w:r>
      <w:proofErr w:type="spellEnd"/>
      <w:r w:rsidR="001A1C7A" w:rsidRPr="001A1C7A">
        <w:rPr>
          <w:sz w:val="24"/>
          <w:szCs w:val="24"/>
          <w:lang w:val="de-DE"/>
        </w:rPr>
        <w:t xml:space="preserve"> &amp; Bauer für das Geschäftsjahr 2023 nunmehr davon aus, das Umsatzziel von rund 1,3 Mrd. € bei einem EBIT von 25 - 35 Mio. € zu erreichen.</w:t>
      </w:r>
      <w:r w:rsidR="001A1C7A">
        <w:rPr>
          <w:sz w:val="24"/>
          <w:szCs w:val="24"/>
          <w:lang w:val="de-DE"/>
        </w:rPr>
        <w:t xml:space="preserve"> </w:t>
      </w:r>
      <w:r w:rsidR="001A1C7A">
        <w:rPr>
          <w:sz w:val="24"/>
          <w:szCs w:val="24"/>
          <w:lang w:val="de-DE"/>
        </w:rPr>
        <w:br/>
      </w:r>
      <w:r w:rsidR="001A1C7A">
        <w:rPr>
          <w:sz w:val="24"/>
          <w:szCs w:val="24"/>
          <w:lang w:val="de-DE"/>
        </w:rPr>
        <w:br/>
      </w:r>
      <w:r w:rsidR="00E77570">
        <w:rPr>
          <w:sz w:val="24"/>
          <w:szCs w:val="24"/>
          <w:lang w:val="de-DE"/>
        </w:rPr>
        <w:t>Ursächlich dafür ist i</w:t>
      </w:r>
      <w:r w:rsidR="001A1C7A" w:rsidRPr="00CC7BCA">
        <w:rPr>
          <w:sz w:val="24"/>
          <w:szCs w:val="24"/>
          <w:lang w:val="de-DE"/>
        </w:rPr>
        <w:t>nsbesondere der Auftragseingang der Bankno</w:t>
      </w:r>
      <w:r w:rsidR="00E77570">
        <w:rPr>
          <w:sz w:val="24"/>
          <w:szCs w:val="24"/>
          <w:lang w:val="de-DE"/>
        </w:rPr>
        <w:t xml:space="preserve">te Solutions im Segment Special, der </w:t>
      </w:r>
      <w:r w:rsidR="001A1C7A" w:rsidRPr="00CC7BCA">
        <w:rPr>
          <w:sz w:val="24"/>
          <w:szCs w:val="24"/>
          <w:lang w:val="de-DE"/>
        </w:rPr>
        <w:t>sich</w:t>
      </w:r>
      <w:r w:rsidR="00F3634A">
        <w:rPr>
          <w:sz w:val="24"/>
          <w:szCs w:val="24"/>
          <w:lang w:val="de-DE"/>
        </w:rPr>
        <w:t xml:space="preserve"> bei </w:t>
      </w:r>
      <w:r w:rsidR="001A1C7A" w:rsidRPr="00CC7BCA">
        <w:rPr>
          <w:sz w:val="24"/>
          <w:szCs w:val="24"/>
          <w:lang w:val="de-DE"/>
        </w:rPr>
        <w:t>nach wie vor robuste</w:t>
      </w:r>
      <w:r w:rsidR="00F3634A">
        <w:rPr>
          <w:sz w:val="24"/>
          <w:szCs w:val="24"/>
          <w:lang w:val="de-DE"/>
        </w:rPr>
        <w:t>r</w:t>
      </w:r>
      <w:r w:rsidR="001A1C7A" w:rsidRPr="00CC7BCA">
        <w:rPr>
          <w:sz w:val="24"/>
          <w:szCs w:val="24"/>
          <w:lang w:val="de-DE"/>
        </w:rPr>
        <w:t xml:space="preserve"> Auftragspipeline aus Gründen, die in den jeweiligen Nationalstaaten liegen</w:t>
      </w:r>
      <w:r w:rsidR="00ED2F5D">
        <w:rPr>
          <w:sz w:val="24"/>
          <w:szCs w:val="24"/>
          <w:lang w:val="de-DE"/>
        </w:rPr>
        <w:t>,</w:t>
      </w:r>
      <w:r w:rsidR="00E77570">
        <w:rPr>
          <w:sz w:val="24"/>
          <w:szCs w:val="24"/>
          <w:lang w:val="de-DE"/>
        </w:rPr>
        <w:t xml:space="preserve"> verschiebt</w:t>
      </w:r>
      <w:r w:rsidR="001A1C7A" w:rsidRPr="00CC7BCA">
        <w:rPr>
          <w:sz w:val="24"/>
          <w:szCs w:val="24"/>
          <w:lang w:val="de-DE"/>
        </w:rPr>
        <w:t xml:space="preserve">. Mit Blick auf die Umsatzlegung, die im Segment Special größtenteils nach der </w:t>
      </w:r>
      <w:proofErr w:type="spellStart"/>
      <w:r w:rsidR="001A1C7A" w:rsidRPr="00CC7BCA">
        <w:rPr>
          <w:sz w:val="24"/>
          <w:szCs w:val="24"/>
          <w:lang w:val="de-DE"/>
        </w:rPr>
        <w:t>Percentage</w:t>
      </w:r>
      <w:proofErr w:type="spellEnd"/>
      <w:r w:rsidR="001A1C7A" w:rsidRPr="00CC7BCA">
        <w:rPr>
          <w:sz w:val="24"/>
          <w:szCs w:val="24"/>
          <w:lang w:val="de-DE"/>
        </w:rPr>
        <w:t>-</w:t>
      </w:r>
      <w:proofErr w:type="spellStart"/>
      <w:r w:rsidR="001A1C7A" w:rsidRPr="00CC7BCA">
        <w:rPr>
          <w:sz w:val="24"/>
          <w:szCs w:val="24"/>
          <w:lang w:val="de-DE"/>
        </w:rPr>
        <w:t>of</w:t>
      </w:r>
      <w:proofErr w:type="spellEnd"/>
      <w:r w:rsidR="001A1C7A" w:rsidRPr="00CC7BCA">
        <w:rPr>
          <w:sz w:val="24"/>
          <w:szCs w:val="24"/>
          <w:lang w:val="de-DE"/>
        </w:rPr>
        <w:t>-</w:t>
      </w:r>
      <w:proofErr w:type="spellStart"/>
      <w:r w:rsidR="001A1C7A" w:rsidRPr="00CC7BCA">
        <w:rPr>
          <w:sz w:val="24"/>
          <w:szCs w:val="24"/>
          <w:lang w:val="de-DE"/>
        </w:rPr>
        <w:t>Completion</w:t>
      </w:r>
      <w:proofErr w:type="spellEnd"/>
      <w:r w:rsidR="001A1C7A" w:rsidRPr="00CC7BCA">
        <w:rPr>
          <w:sz w:val="24"/>
          <w:szCs w:val="24"/>
          <w:lang w:val="de-DE"/>
        </w:rPr>
        <w:t xml:space="preserve">-Methode (POC) erfolgt, ist der Auftragseingang kurzfristiger mit der </w:t>
      </w:r>
      <w:r w:rsidR="001A1C7A" w:rsidRPr="00CC7BCA">
        <w:rPr>
          <w:sz w:val="24"/>
          <w:szCs w:val="24"/>
          <w:lang w:val="de-DE"/>
        </w:rPr>
        <w:lastRenderedPageBreak/>
        <w:t>Umsatzlegung und der Ergebnisrealisierung verbunden.</w:t>
      </w:r>
      <w:r w:rsidR="001A1C7A" w:rsidRPr="001A1C7A">
        <w:rPr>
          <w:sz w:val="24"/>
          <w:szCs w:val="24"/>
          <w:lang w:val="de-DE"/>
        </w:rPr>
        <w:t xml:space="preserve"> </w:t>
      </w:r>
      <w:r w:rsidR="001A1C7A" w:rsidRPr="00CC7BCA">
        <w:rPr>
          <w:sz w:val="24"/>
          <w:szCs w:val="24"/>
          <w:lang w:val="de-DE"/>
        </w:rPr>
        <w:t xml:space="preserve">Im Segment Digital &amp; </w:t>
      </w:r>
      <w:proofErr w:type="spellStart"/>
      <w:r w:rsidR="001A1C7A" w:rsidRPr="00CC7BCA">
        <w:rPr>
          <w:sz w:val="24"/>
          <w:szCs w:val="24"/>
          <w:lang w:val="de-DE"/>
        </w:rPr>
        <w:t>Webfed</w:t>
      </w:r>
      <w:proofErr w:type="spellEnd"/>
      <w:r w:rsidR="001A1C7A" w:rsidRPr="00CC7BCA">
        <w:rPr>
          <w:sz w:val="24"/>
          <w:szCs w:val="24"/>
          <w:lang w:val="de-DE"/>
        </w:rPr>
        <w:t xml:space="preserve"> ist aus heutiger Sicht davon auszugehen, dass weitere Anlaufkosten im Zusammenhang mit der Einführung der neuen Produkte im </w:t>
      </w:r>
      <w:proofErr w:type="spellStart"/>
      <w:r w:rsidR="001A1C7A" w:rsidRPr="00CC7BCA">
        <w:rPr>
          <w:sz w:val="24"/>
          <w:szCs w:val="24"/>
          <w:lang w:val="de-DE"/>
        </w:rPr>
        <w:t>Flexo</w:t>
      </w:r>
      <w:proofErr w:type="spellEnd"/>
      <w:r w:rsidR="001A1C7A" w:rsidRPr="00CC7BCA">
        <w:rPr>
          <w:sz w:val="24"/>
          <w:szCs w:val="24"/>
          <w:lang w:val="de-DE"/>
        </w:rPr>
        <w:t>-, Wellpappe- und Digitaldruck in der zweiten Jahreshälfte 2023 erforderlich sind.</w:t>
      </w:r>
      <w:r w:rsidR="001A1C7A" w:rsidRPr="001A1C7A">
        <w:rPr>
          <w:sz w:val="24"/>
          <w:szCs w:val="24"/>
          <w:lang w:val="de-DE"/>
        </w:rPr>
        <w:t xml:space="preserve"> Im Segment </w:t>
      </w:r>
      <w:proofErr w:type="spellStart"/>
      <w:r w:rsidR="001A1C7A" w:rsidRPr="001A1C7A">
        <w:rPr>
          <w:sz w:val="24"/>
          <w:szCs w:val="24"/>
          <w:lang w:val="de-DE"/>
        </w:rPr>
        <w:t>Sheetfed</w:t>
      </w:r>
      <w:proofErr w:type="spellEnd"/>
      <w:r w:rsidR="001A1C7A" w:rsidRPr="001A1C7A">
        <w:rPr>
          <w:sz w:val="24"/>
          <w:szCs w:val="24"/>
          <w:lang w:val="de-DE"/>
        </w:rPr>
        <w:t xml:space="preserve"> geht das Unternehmen weiterhin von einem profitableren Wachstum in 2023 im Vergleich zum Vorjahr aus.</w:t>
      </w:r>
      <w:r w:rsidR="001A1C7A">
        <w:rPr>
          <w:sz w:val="24"/>
          <w:szCs w:val="24"/>
          <w:lang w:val="de-DE"/>
        </w:rPr>
        <w:t xml:space="preserve"> </w:t>
      </w:r>
    </w:p>
    <w:p w14:paraId="412D3265" w14:textId="4126E18F" w:rsidR="00425F3C" w:rsidRPr="00801D89" w:rsidRDefault="00A024D2" w:rsidP="004F5318">
      <w:pPr>
        <w:rPr>
          <w:sz w:val="24"/>
          <w:szCs w:val="24"/>
          <w:lang w:val="de-DE"/>
        </w:rPr>
      </w:pPr>
      <w:r>
        <w:rPr>
          <w:sz w:val="24"/>
          <w:szCs w:val="24"/>
          <w:lang w:val="de-DE"/>
        </w:rPr>
        <w:t>„</w:t>
      </w:r>
      <w:r w:rsidR="00E159F0">
        <w:rPr>
          <w:sz w:val="24"/>
          <w:szCs w:val="24"/>
          <w:lang w:val="de-DE"/>
        </w:rPr>
        <w:t xml:space="preserve">Wir bestätigen nach wie vor unsere mittelfristige </w:t>
      </w:r>
      <w:proofErr w:type="spellStart"/>
      <w:r w:rsidR="00E159F0">
        <w:rPr>
          <w:sz w:val="24"/>
          <w:szCs w:val="24"/>
          <w:lang w:val="de-DE"/>
        </w:rPr>
        <w:t>Guidance</w:t>
      </w:r>
      <w:proofErr w:type="spellEnd"/>
      <w:r w:rsidR="00E159F0">
        <w:rPr>
          <w:sz w:val="24"/>
          <w:szCs w:val="24"/>
          <w:lang w:val="de-DE"/>
        </w:rPr>
        <w:t xml:space="preserve">, </w:t>
      </w:r>
      <w:r w:rsidR="00F3634A">
        <w:rPr>
          <w:sz w:val="24"/>
          <w:szCs w:val="24"/>
          <w:lang w:val="de-DE"/>
        </w:rPr>
        <w:t xml:space="preserve">da wir deutlich sehen, dass unser </w:t>
      </w:r>
      <w:r w:rsidRPr="001A1C7A">
        <w:rPr>
          <w:sz w:val="24"/>
          <w:szCs w:val="24"/>
          <w:lang w:val="de-DE"/>
        </w:rPr>
        <w:t>Schwerpunkt auf dem strukturell und nachhaltig wachsenden Verpackungsmarkt</w:t>
      </w:r>
      <w:r w:rsidR="00F3634A">
        <w:rPr>
          <w:sz w:val="24"/>
          <w:szCs w:val="24"/>
          <w:lang w:val="de-DE"/>
        </w:rPr>
        <w:t xml:space="preserve"> sich Stück für Stück auszahlt</w:t>
      </w:r>
      <w:r w:rsidRPr="001A1C7A">
        <w:rPr>
          <w:sz w:val="24"/>
          <w:szCs w:val="24"/>
          <w:lang w:val="de-DE"/>
        </w:rPr>
        <w:t xml:space="preserve">“, </w:t>
      </w:r>
      <w:r w:rsidRPr="00801D89">
        <w:rPr>
          <w:b/>
          <w:bCs/>
          <w:sz w:val="24"/>
          <w:szCs w:val="24"/>
          <w:lang w:val="de-DE"/>
        </w:rPr>
        <w:t xml:space="preserve">kommentiert Vorstandssprecher Dr. Andreas </w:t>
      </w:r>
      <w:proofErr w:type="spellStart"/>
      <w:r w:rsidRPr="00801D89">
        <w:rPr>
          <w:b/>
          <w:bCs/>
          <w:sz w:val="24"/>
          <w:szCs w:val="24"/>
          <w:lang w:val="de-DE"/>
        </w:rPr>
        <w:t>P</w:t>
      </w:r>
      <w:r w:rsidR="00CC7BCA" w:rsidRPr="00801D89">
        <w:rPr>
          <w:b/>
          <w:bCs/>
          <w:sz w:val="24"/>
          <w:szCs w:val="24"/>
          <w:lang w:val="de-DE"/>
        </w:rPr>
        <w:t>leßke</w:t>
      </w:r>
      <w:proofErr w:type="spellEnd"/>
      <w:r w:rsidR="00CC7BCA" w:rsidRPr="00801D89">
        <w:rPr>
          <w:b/>
          <w:bCs/>
          <w:sz w:val="24"/>
          <w:szCs w:val="24"/>
          <w:lang w:val="de-DE"/>
        </w:rPr>
        <w:t>.</w:t>
      </w:r>
      <w:r w:rsidR="00CC7BCA" w:rsidRPr="00801D89">
        <w:rPr>
          <w:sz w:val="24"/>
          <w:szCs w:val="24"/>
          <w:lang w:val="de-DE"/>
        </w:rPr>
        <w:t xml:space="preserve"> </w:t>
      </w:r>
      <w:r w:rsidR="00AD2EF9">
        <w:rPr>
          <w:sz w:val="24"/>
          <w:szCs w:val="24"/>
          <w:lang w:val="de-DE"/>
        </w:rPr>
        <w:br/>
      </w:r>
      <w:r w:rsidR="00020A9F">
        <w:rPr>
          <w:sz w:val="24"/>
          <w:szCs w:val="24"/>
          <w:lang w:val="de-DE"/>
        </w:rPr>
        <w:br/>
      </w:r>
      <w:r w:rsidR="00425F3C" w:rsidRPr="00557F0F">
        <w:rPr>
          <w:b/>
          <w:color w:val="002060"/>
          <w:sz w:val="24"/>
          <w:szCs w:val="24"/>
          <w:lang w:val="de-DE"/>
        </w:rPr>
        <w:t>Sechs strategische Wachstumsfelder sichern führende Rolle im Wachstumsmarkt Verpackungsdruck</w:t>
      </w:r>
      <w:r w:rsidR="00425F3C">
        <w:rPr>
          <w:sz w:val="24"/>
          <w:szCs w:val="24"/>
          <w:lang w:val="de-DE"/>
        </w:rPr>
        <w:br/>
      </w:r>
      <w:proofErr w:type="spellStart"/>
      <w:r w:rsidR="00425F3C">
        <w:rPr>
          <w:sz w:val="24"/>
          <w:szCs w:val="24"/>
          <w:lang w:val="de-DE"/>
        </w:rPr>
        <w:t>Koenig</w:t>
      </w:r>
      <w:proofErr w:type="spellEnd"/>
      <w:r w:rsidR="00425F3C">
        <w:rPr>
          <w:sz w:val="24"/>
          <w:szCs w:val="24"/>
          <w:lang w:val="de-DE"/>
        </w:rPr>
        <w:t xml:space="preserve"> &amp; Bauer sieht sich unverändert in einem strukturellen Wachstumsmarkt</w:t>
      </w:r>
      <w:r w:rsidR="00425F3C" w:rsidRPr="00CC7BCA">
        <w:rPr>
          <w:sz w:val="24"/>
          <w:szCs w:val="24"/>
          <w:lang w:val="de-DE"/>
        </w:rPr>
        <w:t>, der allerdings vorübergehend von der aktuellen, weltweiten Konjunkturlage etwas gedämpft wird.</w:t>
      </w:r>
      <w:r w:rsidR="00425F3C">
        <w:rPr>
          <w:sz w:val="24"/>
          <w:szCs w:val="24"/>
          <w:lang w:val="de-DE"/>
        </w:rPr>
        <w:t xml:space="preserve"> </w:t>
      </w:r>
      <w:r w:rsidR="00616B6E">
        <w:rPr>
          <w:sz w:val="24"/>
          <w:szCs w:val="24"/>
          <w:lang w:val="de-DE"/>
        </w:rPr>
        <w:t>Unverändert positive</w:t>
      </w:r>
      <w:r w:rsidR="003D451A">
        <w:rPr>
          <w:sz w:val="24"/>
          <w:szCs w:val="24"/>
          <w:lang w:val="de-DE"/>
        </w:rPr>
        <w:t>r</w:t>
      </w:r>
      <w:r w:rsidR="00616B6E">
        <w:rPr>
          <w:sz w:val="24"/>
          <w:szCs w:val="24"/>
          <w:lang w:val="de-DE"/>
        </w:rPr>
        <w:t xml:space="preserve"> Treiber ist die global wachsende, </w:t>
      </w:r>
      <w:r w:rsidR="00425F3C">
        <w:rPr>
          <w:sz w:val="24"/>
          <w:szCs w:val="24"/>
          <w:lang w:val="de-DE"/>
        </w:rPr>
        <w:t>konsumfreudige Mittelschicht und damit auch der vom Unternehmen führend belieferte Verpackungsmarkt in den Bereic</w:t>
      </w:r>
      <w:r w:rsidR="002C2FF1">
        <w:rPr>
          <w:sz w:val="24"/>
          <w:szCs w:val="24"/>
          <w:lang w:val="de-DE"/>
        </w:rPr>
        <w:t>hen Lebensmittel, Getränke und schnelllebigen Konsumgütern.</w:t>
      </w:r>
      <w:r w:rsidR="00425F3C">
        <w:rPr>
          <w:sz w:val="24"/>
          <w:szCs w:val="24"/>
          <w:lang w:val="de-DE"/>
        </w:rPr>
        <w:t xml:space="preserve"> </w:t>
      </w:r>
      <w:proofErr w:type="spellStart"/>
      <w:r w:rsidR="00425F3C">
        <w:rPr>
          <w:sz w:val="24"/>
          <w:szCs w:val="24"/>
          <w:lang w:val="de-DE"/>
        </w:rPr>
        <w:t>Koenig</w:t>
      </w:r>
      <w:proofErr w:type="spellEnd"/>
      <w:r w:rsidR="00425F3C">
        <w:rPr>
          <w:sz w:val="24"/>
          <w:szCs w:val="24"/>
          <w:lang w:val="de-DE"/>
        </w:rPr>
        <w:t xml:space="preserve"> &amp; Bauer liefert </w:t>
      </w:r>
      <w:r w:rsidR="002C2FF1">
        <w:rPr>
          <w:sz w:val="24"/>
          <w:szCs w:val="24"/>
          <w:lang w:val="de-DE"/>
        </w:rPr>
        <w:t>dafür</w:t>
      </w:r>
      <w:r w:rsidR="00425F3C">
        <w:rPr>
          <w:sz w:val="24"/>
          <w:szCs w:val="24"/>
          <w:lang w:val="de-DE"/>
        </w:rPr>
        <w:t xml:space="preserve"> Maschinen, Anlagen und Serviceleistungen</w:t>
      </w:r>
      <w:r w:rsidR="000E1D45">
        <w:rPr>
          <w:sz w:val="24"/>
          <w:szCs w:val="24"/>
          <w:lang w:val="de-DE"/>
        </w:rPr>
        <w:t>. Zu den sechs Wachstumsfeldern zähl</w:t>
      </w:r>
      <w:r w:rsidR="00ED2F5D">
        <w:rPr>
          <w:sz w:val="24"/>
          <w:szCs w:val="24"/>
          <w:lang w:val="de-DE"/>
        </w:rPr>
        <w:t>en</w:t>
      </w:r>
      <w:r w:rsidR="000E1D45">
        <w:rPr>
          <w:sz w:val="24"/>
          <w:szCs w:val="24"/>
          <w:lang w:val="de-DE"/>
        </w:rPr>
        <w:t xml:space="preserve"> der W</w:t>
      </w:r>
      <w:r w:rsidR="00425F3C">
        <w:rPr>
          <w:sz w:val="24"/>
          <w:szCs w:val="24"/>
          <w:lang w:val="de-DE"/>
        </w:rPr>
        <w:t xml:space="preserve">ellpappenbereich </w:t>
      </w:r>
      <w:r w:rsidR="000E1D45">
        <w:rPr>
          <w:sz w:val="24"/>
          <w:szCs w:val="24"/>
          <w:lang w:val="de-DE"/>
        </w:rPr>
        <w:t xml:space="preserve">sowie die unterschiedlichen Digitaldruckanwendungen, die </w:t>
      </w:r>
      <w:r w:rsidR="00425F3C">
        <w:rPr>
          <w:sz w:val="24"/>
          <w:szCs w:val="24"/>
          <w:lang w:val="de-DE"/>
        </w:rPr>
        <w:t>flexible</w:t>
      </w:r>
      <w:r w:rsidR="000E1D45">
        <w:rPr>
          <w:sz w:val="24"/>
          <w:szCs w:val="24"/>
          <w:lang w:val="de-DE"/>
        </w:rPr>
        <w:t>n</w:t>
      </w:r>
      <w:r w:rsidR="00425F3C">
        <w:rPr>
          <w:sz w:val="24"/>
          <w:szCs w:val="24"/>
          <w:lang w:val="de-DE"/>
        </w:rPr>
        <w:t xml:space="preserve"> Verpackungen sowie </w:t>
      </w:r>
      <w:r w:rsidR="000E1D45">
        <w:rPr>
          <w:sz w:val="24"/>
          <w:szCs w:val="24"/>
          <w:lang w:val="de-DE"/>
        </w:rPr>
        <w:t>der komplette</w:t>
      </w:r>
      <w:r w:rsidR="00425F3C">
        <w:rPr>
          <w:sz w:val="24"/>
          <w:szCs w:val="24"/>
          <w:lang w:val="de-DE"/>
        </w:rPr>
        <w:t xml:space="preserve"> Workflow zur Herstellung von Faltschachteln inklusive der passenden Workflow-Software. Weitere digitale Geschäftsmodelle sowie das Wachstumsfeld </w:t>
      </w:r>
      <w:proofErr w:type="spellStart"/>
      <w:r w:rsidR="00425F3C">
        <w:rPr>
          <w:sz w:val="24"/>
          <w:szCs w:val="24"/>
          <w:lang w:val="de-DE"/>
        </w:rPr>
        <w:t>Consumab</w:t>
      </w:r>
      <w:r w:rsidR="003D451A">
        <w:rPr>
          <w:sz w:val="24"/>
          <w:szCs w:val="24"/>
          <w:lang w:val="de-DE"/>
        </w:rPr>
        <w:t>les</w:t>
      </w:r>
      <w:proofErr w:type="spellEnd"/>
      <w:r w:rsidR="00425F3C">
        <w:rPr>
          <w:sz w:val="24"/>
          <w:szCs w:val="24"/>
          <w:lang w:val="de-DE"/>
        </w:rPr>
        <w:t xml:space="preserve"> für den Digitaldruck runden die Wachstumsfelder künftig ab. Allerdings sieht </w:t>
      </w:r>
      <w:proofErr w:type="spellStart"/>
      <w:r w:rsidR="00425F3C">
        <w:rPr>
          <w:sz w:val="24"/>
          <w:szCs w:val="24"/>
          <w:lang w:val="de-DE"/>
        </w:rPr>
        <w:t>Koenig</w:t>
      </w:r>
      <w:proofErr w:type="spellEnd"/>
      <w:r w:rsidR="00425F3C">
        <w:rPr>
          <w:sz w:val="24"/>
          <w:szCs w:val="24"/>
          <w:lang w:val="de-DE"/>
        </w:rPr>
        <w:t xml:space="preserve"> &amp; Bauer aktuell eine vorübergehende, konjunkturell bedingte </w:t>
      </w:r>
      <w:r w:rsidR="003D451A">
        <w:rPr>
          <w:sz w:val="24"/>
          <w:szCs w:val="24"/>
          <w:lang w:val="de-DE"/>
        </w:rPr>
        <w:t>Investitionszurückhaltung</w:t>
      </w:r>
      <w:r w:rsidR="00425F3C">
        <w:rPr>
          <w:sz w:val="24"/>
          <w:szCs w:val="24"/>
          <w:lang w:val="de-DE"/>
        </w:rPr>
        <w:t>, die sich auch in den Zahlen des dritten Quartals niederschlägt.</w:t>
      </w:r>
    </w:p>
    <w:p w14:paraId="14EF933E" w14:textId="6F4CAF42" w:rsidR="001C6EF9" w:rsidRPr="00801D89" w:rsidRDefault="00CC7BCA" w:rsidP="00801D89">
      <w:pPr>
        <w:pStyle w:val="Default"/>
        <w:spacing w:line="276" w:lineRule="auto"/>
        <w:rPr>
          <w:rFonts w:eastAsia="Arial"/>
          <w:color w:val="auto"/>
          <w:lang w:eastAsia="de-DE"/>
          <w14:ligatures w14:val="none"/>
        </w:rPr>
      </w:pPr>
      <w:r w:rsidRPr="00557F0F">
        <w:rPr>
          <w:rFonts w:eastAsia="Arial"/>
          <w:b/>
          <w:bCs/>
          <w:color w:val="002060"/>
          <w:lang w:eastAsia="de-DE"/>
          <w14:ligatures w14:val="none"/>
        </w:rPr>
        <w:t xml:space="preserve">Auftragseingang </w:t>
      </w:r>
      <w:r w:rsidR="001A1C7A" w:rsidRPr="00557F0F">
        <w:rPr>
          <w:rFonts w:eastAsia="Arial"/>
          <w:b/>
          <w:bCs/>
          <w:color w:val="002060"/>
          <w:lang w:eastAsia="de-DE"/>
          <w14:ligatures w14:val="none"/>
        </w:rPr>
        <w:t xml:space="preserve">fällt </w:t>
      </w:r>
      <w:r w:rsidRPr="00557F0F">
        <w:rPr>
          <w:rFonts w:eastAsia="Arial"/>
          <w:b/>
          <w:bCs/>
          <w:color w:val="002060"/>
          <w:lang w:eastAsia="de-DE"/>
          <w14:ligatures w14:val="none"/>
        </w:rPr>
        <w:t>in den Segmenten unterschiedlich aus</w:t>
      </w:r>
      <w:r w:rsidR="00AD2EF9" w:rsidRPr="00801D89">
        <w:rPr>
          <w:rFonts w:eastAsia="Arial"/>
          <w:color w:val="auto"/>
          <w:lang w:eastAsia="de-DE"/>
          <w14:ligatures w14:val="none"/>
        </w:rPr>
        <w:br/>
      </w:r>
      <w:r w:rsidR="00632D47" w:rsidRPr="00801D89">
        <w:rPr>
          <w:rFonts w:eastAsia="Arial"/>
          <w:color w:val="auto"/>
          <w:lang w:eastAsia="de-DE"/>
          <w14:ligatures w14:val="none"/>
        </w:rPr>
        <w:t xml:space="preserve">In den ersten neun Monaten 2023 lag der Auftragseingang bei 831,3 Mio. €, was einem Minus von 19,0 % entspricht. Der Vorjahreswert war insbesondere durch eine überdurchschnittliche Nachfrage im Segment </w:t>
      </w:r>
      <w:proofErr w:type="spellStart"/>
      <w:r w:rsidR="00632D47" w:rsidRPr="00801D89">
        <w:rPr>
          <w:rFonts w:eastAsia="Arial"/>
          <w:color w:val="auto"/>
          <w:lang w:eastAsia="de-DE"/>
          <w14:ligatures w14:val="none"/>
        </w:rPr>
        <w:t>Sheetfed</w:t>
      </w:r>
      <w:proofErr w:type="spellEnd"/>
      <w:r w:rsidR="00632D47" w:rsidRPr="00801D89">
        <w:rPr>
          <w:rFonts w:eastAsia="Arial"/>
          <w:color w:val="auto"/>
          <w:lang w:eastAsia="de-DE"/>
          <w14:ligatures w14:val="none"/>
        </w:rPr>
        <w:t xml:space="preserve"> geprägt. Diese hatte sich erwartungsgemäß bis zum ersten Halbjahr auf ein robustes Nachfrageniveau reduziert. Im dritten Quartal kam es jedoch zu einer spürbar</w:t>
      </w:r>
      <w:r w:rsidR="00616B6E" w:rsidRPr="00801D89">
        <w:rPr>
          <w:rFonts w:eastAsia="Arial"/>
          <w:color w:val="auto"/>
          <w:lang w:eastAsia="de-DE"/>
          <w14:ligatures w14:val="none"/>
        </w:rPr>
        <w:t>en</w:t>
      </w:r>
      <w:r w:rsidR="00632D47" w:rsidRPr="00801D89">
        <w:rPr>
          <w:rFonts w:eastAsia="Arial"/>
          <w:color w:val="auto"/>
          <w:lang w:eastAsia="de-DE"/>
          <w14:ligatures w14:val="none"/>
        </w:rPr>
        <w:t xml:space="preserve"> Eintrübung. Dagegen lag der Auftragseingang im Segment Digital &amp; </w:t>
      </w:r>
      <w:proofErr w:type="spellStart"/>
      <w:r w:rsidR="00632D47" w:rsidRPr="00801D89">
        <w:rPr>
          <w:rFonts w:eastAsia="Arial"/>
          <w:color w:val="auto"/>
          <w:lang w:eastAsia="de-DE"/>
          <w14:ligatures w14:val="none"/>
        </w:rPr>
        <w:t>Webfed</w:t>
      </w:r>
      <w:proofErr w:type="spellEnd"/>
      <w:r w:rsidR="00632D47" w:rsidRPr="00801D89">
        <w:rPr>
          <w:rFonts w:eastAsia="Arial"/>
          <w:color w:val="auto"/>
          <w:lang w:eastAsia="de-DE"/>
          <w14:ligatures w14:val="none"/>
        </w:rPr>
        <w:t xml:space="preserve"> deutlich über dem Vorjahreswert und das Segment Special lag trotz einer Verzögerung im Auftragseingang nahezu auf dem Vorjahresniveau. Damit lagen die Bestellungen leicht unter dem Branchendurchschnitt für Druckereimaschinen, der in den ersten neun Monaten ein Minus im Auftragseingang von 16,1 % verzeichnete.</w:t>
      </w:r>
      <w:r w:rsidR="006F7A52" w:rsidRPr="00801D89">
        <w:rPr>
          <w:rFonts w:eastAsia="Arial"/>
          <w:color w:val="auto"/>
          <w:lang w:eastAsia="de-DE"/>
          <w14:ligatures w14:val="none"/>
        </w:rPr>
        <w:t xml:space="preserve"> </w:t>
      </w:r>
    </w:p>
    <w:p w14:paraId="4001D3F2" w14:textId="77777777" w:rsidR="001C6EF9" w:rsidRPr="00801D89" w:rsidRDefault="001C6EF9" w:rsidP="00801D89">
      <w:pPr>
        <w:pStyle w:val="Default"/>
        <w:spacing w:line="276" w:lineRule="auto"/>
        <w:rPr>
          <w:rFonts w:eastAsia="Arial"/>
          <w:color w:val="auto"/>
          <w:lang w:eastAsia="de-DE"/>
          <w14:ligatures w14:val="none"/>
        </w:rPr>
      </w:pPr>
    </w:p>
    <w:p w14:paraId="223A135A" w14:textId="69F837BA" w:rsidR="00BB6AB6" w:rsidRPr="00801D89" w:rsidRDefault="006F7A52" w:rsidP="00801D89">
      <w:pPr>
        <w:pStyle w:val="Default"/>
        <w:spacing w:line="276" w:lineRule="auto"/>
        <w:rPr>
          <w:rFonts w:eastAsia="Arial"/>
          <w:color w:val="auto"/>
          <w:lang w:eastAsia="de-DE"/>
          <w14:ligatures w14:val="none"/>
        </w:rPr>
      </w:pPr>
      <w:r w:rsidRPr="00801D89">
        <w:rPr>
          <w:rFonts w:eastAsia="Arial"/>
          <w:color w:val="auto"/>
          <w:lang w:eastAsia="de-DE"/>
          <w14:ligatures w14:val="none"/>
        </w:rPr>
        <w:lastRenderedPageBreak/>
        <w:t>Die Book-to-</w:t>
      </w:r>
      <w:proofErr w:type="spellStart"/>
      <w:r w:rsidRPr="00801D89">
        <w:rPr>
          <w:rFonts w:eastAsia="Arial"/>
          <w:color w:val="auto"/>
          <w:lang w:eastAsia="de-DE"/>
          <w14:ligatures w14:val="none"/>
        </w:rPr>
        <w:t>bill</w:t>
      </w:r>
      <w:proofErr w:type="spellEnd"/>
      <w:r w:rsidRPr="00801D89">
        <w:rPr>
          <w:rFonts w:eastAsia="Arial"/>
          <w:color w:val="auto"/>
          <w:lang w:eastAsia="de-DE"/>
          <w14:ligatures w14:val="none"/>
        </w:rPr>
        <w:t>-Ratio lag trotz des Umsatzanstiegs in den ersten neun Monaten bei 0,9</w:t>
      </w:r>
      <w:r w:rsidR="001C6EF9" w:rsidRPr="00801D89">
        <w:rPr>
          <w:rFonts w:eastAsia="Arial"/>
          <w:color w:val="auto"/>
          <w:lang w:eastAsia="de-DE"/>
          <w14:ligatures w14:val="none"/>
        </w:rPr>
        <w:t>3</w:t>
      </w:r>
      <w:r w:rsidRPr="00801D89">
        <w:rPr>
          <w:rFonts w:eastAsia="Arial"/>
          <w:color w:val="auto"/>
          <w:lang w:eastAsia="de-DE"/>
          <w14:ligatures w14:val="none"/>
        </w:rPr>
        <w:t xml:space="preserve">. Der Auftragsbestand betrug zum Berichtsstichtag </w:t>
      </w:r>
      <w:r w:rsidR="001C6EF9" w:rsidRPr="00801D89">
        <w:rPr>
          <w:rFonts w:eastAsia="Arial"/>
          <w:color w:val="auto"/>
          <w:lang w:eastAsia="de-DE"/>
          <w14:ligatures w14:val="none"/>
        </w:rPr>
        <w:t>890,6</w:t>
      </w:r>
      <w:r w:rsidRPr="00801D89">
        <w:rPr>
          <w:rFonts w:eastAsia="Arial"/>
          <w:color w:val="auto"/>
          <w:lang w:eastAsia="de-DE"/>
          <w14:ligatures w14:val="none"/>
        </w:rPr>
        <w:t xml:space="preserve"> Mio. € und lag, bedingt durch die erfolgten Auslieferungen, planmäßig um </w:t>
      </w:r>
      <w:r w:rsidR="001C6EF9" w:rsidRPr="00801D89">
        <w:rPr>
          <w:rFonts w:eastAsia="Arial"/>
          <w:color w:val="auto"/>
          <w:lang w:eastAsia="de-DE"/>
          <w14:ligatures w14:val="none"/>
        </w:rPr>
        <w:t>13,3</w:t>
      </w:r>
      <w:r w:rsidRPr="00801D89">
        <w:rPr>
          <w:rFonts w:eastAsia="Arial"/>
          <w:color w:val="auto"/>
          <w:lang w:eastAsia="de-DE"/>
          <w14:ligatures w14:val="none"/>
        </w:rPr>
        <w:t xml:space="preserve"> % </w:t>
      </w:r>
      <w:r w:rsidR="001C6EF9" w:rsidRPr="00801D89">
        <w:rPr>
          <w:rFonts w:eastAsia="Arial"/>
          <w:color w:val="auto"/>
          <w:lang w:eastAsia="de-DE"/>
          <w14:ligatures w14:val="none"/>
        </w:rPr>
        <w:t>unter dem Vorjahreswert von 1.027,0</w:t>
      </w:r>
      <w:r w:rsidRPr="00801D89">
        <w:rPr>
          <w:rFonts w:eastAsia="Arial"/>
          <w:color w:val="auto"/>
          <w:lang w:eastAsia="de-DE"/>
          <w14:ligatures w14:val="none"/>
        </w:rPr>
        <w:t xml:space="preserve"> Mio. €.</w:t>
      </w:r>
    </w:p>
    <w:p w14:paraId="02E0A270" w14:textId="24CC1C3D" w:rsidR="00DC2464" w:rsidRPr="00801D89" w:rsidRDefault="00DC2464" w:rsidP="00801D89">
      <w:pPr>
        <w:pStyle w:val="Default"/>
        <w:spacing w:line="276" w:lineRule="auto"/>
        <w:rPr>
          <w:rFonts w:eastAsia="Arial"/>
          <w:color w:val="auto"/>
          <w:lang w:eastAsia="de-DE"/>
          <w14:ligatures w14:val="none"/>
        </w:rPr>
      </w:pPr>
    </w:p>
    <w:p w14:paraId="45640895" w14:textId="6ED52074" w:rsidR="00DC2464" w:rsidRDefault="00DC2464" w:rsidP="00801D89">
      <w:pPr>
        <w:pStyle w:val="Default"/>
        <w:spacing w:line="276" w:lineRule="auto"/>
      </w:pPr>
    </w:p>
    <w:p w14:paraId="31F28D3C" w14:textId="77777777" w:rsidR="00DC2464" w:rsidRPr="00557F0F" w:rsidRDefault="00DC2464" w:rsidP="00801D89">
      <w:pPr>
        <w:pStyle w:val="Default"/>
        <w:spacing w:line="276" w:lineRule="auto"/>
        <w:rPr>
          <w:b/>
          <w:color w:val="002060"/>
        </w:rPr>
      </w:pPr>
      <w:r w:rsidRPr="00557F0F">
        <w:rPr>
          <w:b/>
          <w:color w:val="002060"/>
        </w:rPr>
        <w:t>Umsatz- und EBIT-Wachstum nach 9-Monaten erzielt – temporär schwaches Q3</w:t>
      </w:r>
    </w:p>
    <w:p w14:paraId="6F02A2CE" w14:textId="5B1C5692" w:rsidR="00516EF7" w:rsidRDefault="00DC2464" w:rsidP="00801D89">
      <w:pPr>
        <w:pStyle w:val="Default"/>
        <w:spacing w:line="276" w:lineRule="auto"/>
      </w:pPr>
      <w:r>
        <w:t xml:space="preserve">Der Konzernumsatz erhöhte sich in den ersten neun Monaten um 10,6 % und lag bei 891,1 Mio. €. </w:t>
      </w:r>
      <w:r w:rsidR="00516EF7">
        <w:t>Das Bruttoergebnis des Umsatzes lag bei 240,7 Mio. € und die</w:t>
      </w:r>
    </w:p>
    <w:p w14:paraId="406AA36C" w14:textId="14D93BF3" w:rsidR="00CC7BCA" w:rsidRDefault="00516EF7" w:rsidP="00801D89">
      <w:pPr>
        <w:pStyle w:val="Default"/>
        <w:spacing w:line="276" w:lineRule="auto"/>
      </w:pPr>
      <w:r>
        <w:t xml:space="preserve">Bruttomarge </w:t>
      </w:r>
      <w:r w:rsidR="00616B6E">
        <w:t xml:space="preserve">stabil bei </w:t>
      </w:r>
      <w:r>
        <w:t xml:space="preserve">27,0 % </w:t>
      </w:r>
      <w:r w:rsidR="00616B6E">
        <w:t>(</w:t>
      </w:r>
      <w:r>
        <w:t>Vorjahresniveau 27,1 %</w:t>
      </w:r>
      <w:r w:rsidR="00616B6E">
        <w:t>)</w:t>
      </w:r>
      <w:r>
        <w:t xml:space="preserve">. </w:t>
      </w:r>
      <w:r w:rsidR="00DC2464">
        <w:t xml:space="preserve">Der Umsatzanstieg in der Branche </w:t>
      </w:r>
      <w:r w:rsidR="00ED2F5D">
        <w:t xml:space="preserve">betrug </w:t>
      </w:r>
      <w:r w:rsidR="00DC2464">
        <w:t>laut VDMA in den ersten neun Monaten 6,4 %. Der Umsatz im dritten Q</w:t>
      </w:r>
      <w:r>
        <w:t xml:space="preserve">uartal lag hauptsächlich </w:t>
      </w:r>
      <w:r w:rsidR="00DC2464">
        <w:t>aufgrund eines schwächeren Umsatzbeitrages aus dem Segment Special mit 294,7 Mio. € um 6,1 % unter dem Vorjahreswert.</w:t>
      </w:r>
    </w:p>
    <w:p w14:paraId="5B522B85" w14:textId="77777777" w:rsidR="006F7A52" w:rsidRDefault="006F7A52" w:rsidP="00801D89">
      <w:pPr>
        <w:pStyle w:val="Default"/>
        <w:spacing w:line="276" w:lineRule="auto"/>
      </w:pPr>
    </w:p>
    <w:p w14:paraId="65BDA53D" w14:textId="77777777" w:rsidR="006F7A52" w:rsidRDefault="006F7A52" w:rsidP="00801D89">
      <w:pPr>
        <w:pStyle w:val="Default"/>
        <w:spacing w:line="276" w:lineRule="auto"/>
      </w:pPr>
      <w:r>
        <w:rPr>
          <w:color w:val="0A0F0A"/>
          <w:shd w:val="clear" w:color="auto" w:fill="FFFFFF"/>
        </w:rPr>
        <w:t xml:space="preserve">Das Ergebnis vor Zinsen und Steuern (EBIT) verbesserte sich in den ersten neun Monaten um 0,9 Mio. € auf </w:t>
      </w:r>
      <w:r w:rsidR="00516EF7">
        <w:t>-2,1 Mio. € (</w:t>
      </w:r>
      <w:proofErr w:type="spellStart"/>
      <w:r w:rsidR="00516EF7">
        <w:t>Vj</w:t>
      </w:r>
      <w:proofErr w:type="spellEnd"/>
      <w:r w:rsidR="00516EF7">
        <w:t>.: -3,0 Mio. €). Die o</w:t>
      </w:r>
      <w:r>
        <w:t xml:space="preserve">perative Verbesserung </w:t>
      </w:r>
      <w:r w:rsidR="00516EF7">
        <w:t>ist trotz der Anlauf</w:t>
      </w:r>
      <w:r>
        <w:t xml:space="preserve">- und Nachlaufkosten im Segment </w:t>
      </w:r>
      <w:r w:rsidR="00516EF7">
        <w:t xml:space="preserve">Digital &amp; </w:t>
      </w:r>
      <w:proofErr w:type="spellStart"/>
      <w:r w:rsidR="00516EF7">
        <w:t>Webfed</w:t>
      </w:r>
      <w:proofErr w:type="spellEnd"/>
      <w:r w:rsidR="00516EF7">
        <w:t xml:space="preserve"> hauptsäch</w:t>
      </w:r>
      <w:r>
        <w:t xml:space="preserve">lich auf den in Summe positiven </w:t>
      </w:r>
      <w:r w:rsidR="00516EF7">
        <w:t xml:space="preserve">Volumen- und Mixeffekt und die </w:t>
      </w:r>
      <w:r>
        <w:t xml:space="preserve">Fähigkeit, die Inflationskosten durch die </w:t>
      </w:r>
      <w:r w:rsidR="00516EF7">
        <w:t xml:space="preserve">angekündigten Preiserhöhungen </w:t>
      </w:r>
      <w:r>
        <w:t xml:space="preserve">größtenteils auszugleichen, </w:t>
      </w:r>
      <w:r w:rsidR="00516EF7">
        <w:t>zurückzuführen.</w:t>
      </w:r>
      <w:r>
        <w:t xml:space="preserve"> Im dritten Quartal war ein </w:t>
      </w:r>
      <w:r w:rsidRPr="006F7A52">
        <w:t>EBIT-Rückgan</w:t>
      </w:r>
      <w:r>
        <w:t xml:space="preserve">g </w:t>
      </w:r>
      <w:r w:rsidRPr="006F7A52">
        <w:t xml:space="preserve">von 10,8 Mio. € auf 3,3 Mio. € </w:t>
      </w:r>
      <w:r>
        <w:t xml:space="preserve">zu verzeichnen, jedoch konnte unterjährig eine </w:t>
      </w:r>
      <w:r w:rsidRPr="006F7A52">
        <w:t>Verbesserung</w:t>
      </w:r>
      <w:r>
        <w:t xml:space="preserve"> erzielt werden. </w:t>
      </w:r>
    </w:p>
    <w:p w14:paraId="1181DCA1" w14:textId="77777777" w:rsidR="006F7A52" w:rsidRDefault="006F7A52" w:rsidP="00801D89">
      <w:pPr>
        <w:pStyle w:val="Default"/>
        <w:spacing w:line="276" w:lineRule="auto"/>
      </w:pPr>
    </w:p>
    <w:p w14:paraId="2951D820" w14:textId="0D28F5D0" w:rsidR="00516EF7" w:rsidRDefault="00516EF7" w:rsidP="00801D89">
      <w:pPr>
        <w:pStyle w:val="Default"/>
        <w:spacing w:line="276" w:lineRule="auto"/>
      </w:pPr>
      <w:r>
        <w:t>Bei einem unter dem Vorjahresniveau liegende</w:t>
      </w:r>
      <w:r w:rsidR="006F7A52">
        <w:t xml:space="preserve">n Zinsergebnis von -13,1 Mio. €, hauptsächlich aufgrund gestiegener Zinsen gegenüber </w:t>
      </w:r>
      <w:r>
        <w:t>Kr</w:t>
      </w:r>
      <w:r w:rsidR="006F7A52">
        <w:t xml:space="preserve">editinstituten, ergibt sich ein </w:t>
      </w:r>
      <w:r>
        <w:t>Erge</w:t>
      </w:r>
      <w:r w:rsidR="006F7A52">
        <w:t xml:space="preserve">bnis vor Steuern (EBT) von -15,2 Mio. </w:t>
      </w:r>
      <w:r>
        <w:t>€</w:t>
      </w:r>
      <w:r w:rsidR="006F7A52">
        <w:t xml:space="preserve">. Nach Steuern vom </w:t>
      </w:r>
      <w:r>
        <w:t>Einkommen und</w:t>
      </w:r>
      <w:r w:rsidR="006F7A52">
        <w:t xml:space="preserve"> Ertrag lag das Konzernergebnis zum 30. September 2023 </w:t>
      </w:r>
      <w:r>
        <w:t>bei -12,2 M</w:t>
      </w:r>
      <w:r w:rsidR="006F7A52">
        <w:t xml:space="preserve">io. €. Dies </w:t>
      </w:r>
      <w:r>
        <w:t>entspric</w:t>
      </w:r>
      <w:r w:rsidR="006F7A52">
        <w:t xml:space="preserve">ht einem anteiligen Ergebnis je </w:t>
      </w:r>
      <w:r>
        <w:t>Aktie von -0,75 € (</w:t>
      </w:r>
      <w:proofErr w:type="spellStart"/>
      <w:r>
        <w:t>Vj</w:t>
      </w:r>
      <w:proofErr w:type="spellEnd"/>
      <w:r>
        <w:t>.: -0,70 €).</w:t>
      </w:r>
    </w:p>
    <w:p w14:paraId="3BC532B6" w14:textId="77777777" w:rsidR="00DC2464" w:rsidRDefault="00DC2464" w:rsidP="00801D89">
      <w:pPr>
        <w:pStyle w:val="Default"/>
        <w:spacing w:line="276" w:lineRule="auto"/>
      </w:pPr>
    </w:p>
    <w:p w14:paraId="112B7E79" w14:textId="78ED0238" w:rsidR="009E5041" w:rsidRPr="009E5041" w:rsidRDefault="000B074A" w:rsidP="00801D89">
      <w:pPr>
        <w:pStyle w:val="Default"/>
        <w:spacing w:line="276" w:lineRule="auto"/>
      </w:pPr>
      <w:r w:rsidRPr="00557F0F">
        <w:rPr>
          <w:b/>
          <w:bCs/>
          <w:color w:val="002060"/>
        </w:rPr>
        <w:t>T</w:t>
      </w:r>
      <w:r w:rsidR="00E14A82" w:rsidRPr="00557F0F">
        <w:rPr>
          <w:b/>
          <w:bCs/>
          <w:color w:val="002060"/>
        </w:rPr>
        <w:t xml:space="preserve">rendwende </w:t>
      </w:r>
      <w:r w:rsidR="00A6076D" w:rsidRPr="00557F0F">
        <w:rPr>
          <w:b/>
          <w:bCs/>
          <w:color w:val="002060"/>
        </w:rPr>
        <w:t xml:space="preserve">im Segment </w:t>
      </w:r>
      <w:r w:rsidR="00E14A82" w:rsidRPr="00557F0F">
        <w:rPr>
          <w:b/>
          <w:bCs/>
          <w:color w:val="002060"/>
        </w:rPr>
        <w:t xml:space="preserve">Digital &amp; </w:t>
      </w:r>
      <w:proofErr w:type="spellStart"/>
      <w:r w:rsidR="00E14A82" w:rsidRPr="00557F0F">
        <w:rPr>
          <w:b/>
          <w:bCs/>
          <w:color w:val="002060"/>
        </w:rPr>
        <w:t>Webfed</w:t>
      </w:r>
      <w:proofErr w:type="spellEnd"/>
      <w:r w:rsidR="00E0511C" w:rsidRPr="00557F0F">
        <w:rPr>
          <w:b/>
          <w:bCs/>
          <w:color w:val="002060"/>
        </w:rPr>
        <w:t xml:space="preserve"> </w:t>
      </w:r>
      <w:r w:rsidR="009E5041" w:rsidRPr="00557F0F">
        <w:rPr>
          <w:b/>
          <w:bCs/>
          <w:color w:val="002060"/>
        </w:rPr>
        <w:t>erreicht</w:t>
      </w:r>
      <w:r w:rsidR="002F3A35">
        <w:br/>
      </w:r>
      <w:r w:rsidR="009E5041" w:rsidRPr="009E5041">
        <w:t>In den ersten neun Monaten 2023 stieg der Auftragseingang im Segment</w:t>
      </w:r>
    </w:p>
    <w:p w14:paraId="4C9FA087" w14:textId="77777777" w:rsidR="009E5041" w:rsidRPr="009E5041" w:rsidRDefault="009E5041" w:rsidP="00801D89">
      <w:pPr>
        <w:pStyle w:val="Default"/>
        <w:spacing w:line="276" w:lineRule="auto"/>
      </w:pPr>
      <w:r w:rsidRPr="009E5041">
        <w:t xml:space="preserve">Digital &amp; </w:t>
      </w:r>
      <w:proofErr w:type="spellStart"/>
      <w:r w:rsidRPr="009E5041">
        <w:t>Webfed</w:t>
      </w:r>
      <w:proofErr w:type="spellEnd"/>
      <w:r w:rsidRPr="009E5041">
        <w:t xml:space="preserve"> um 49,3 % auf 132,9 Mio. € (</w:t>
      </w:r>
      <w:proofErr w:type="spellStart"/>
      <w:r w:rsidRPr="009E5041">
        <w:t>Vj</w:t>
      </w:r>
      <w:proofErr w:type="spellEnd"/>
      <w:r w:rsidRPr="009E5041">
        <w:t>.: 89,0 Mio. €) dank der</w:t>
      </w:r>
    </w:p>
    <w:p w14:paraId="22DE3A34" w14:textId="77777777" w:rsidR="009E5041" w:rsidRPr="009E5041" w:rsidRDefault="009E5041" w:rsidP="00801D89">
      <w:pPr>
        <w:pStyle w:val="Default"/>
        <w:spacing w:line="276" w:lineRule="auto"/>
      </w:pPr>
      <w:r w:rsidRPr="009E5041">
        <w:t xml:space="preserve">Nachfrage nach den Rollendigitaldruckanlagen </w:t>
      </w:r>
      <w:proofErr w:type="spellStart"/>
      <w:r w:rsidRPr="009E5041">
        <w:t>RotaJET</w:t>
      </w:r>
      <w:proofErr w:type="spellEnd"/>
      <w:r w:rsidRPr="009E5041">
        <w:t xml:space="preserve"> und HP sowie den</w:t>
      </w:r>
    </w:p>
    <w:p w14:paraId="36451269" w14:textId="479AC59C" w:rsidR="009E5041" w:rsidRPr="009E5041" w:rsidRDefault="009E5041" w:rsidP="00801D89">
      <w:pPr>
        <w:pStyle w:val="Default"/>
        <w:spacing w:line="276" w:lineRule="auto"/>
      </w:pPr>
      <w:r w:rsidRPr="009E5041">
        <w:t xml:space="preserve">Wellpappe- und </w:t>
      </w:r>
      <w:proofErr w:type="spellStart"/>
      <w:r w:rsidRPr="009E5041">
        <w:t>Flexomaschinen</w:t>
      </w:r>
      <w:proofErr w:type="spellEnd"/>
      <w:r w:rsidRPr="009E5041">
        <w:t xml:space="preserve"> an. Der Umsatz lag mit 102,3 Mio. € um 7,5 % über</w:t>
      </w:r>
    </w:p>
    <w:p w14:paraId="7CBE1A0C" w14:textId="77777777" w:rsidR="00381379" w:rsidRDefault="009E5041" w:rsidP="00801D89">
      <w:pPr>
        <w:pStyle w:val="Default"/>
        <w:spacing w:line="276" w:lineRule="auto"/>
      </w:pPr>
      <w:r w:rsidRPr="009E5041">
        <w:t>dem Vorjahreswert von 95,2 Mio. €. Das</w:t>
      </w:r>
      <w:r w:rsidR="00D52CFB">
        <w:t xml:space="preserve"> </w:t>
      </w:r>
      <w:r w:rsidRPr="009E5041">
        <w:t>EBIT war noch von Anlauf- und Nachlaufkosten im Zusammenhang mit der</w:t>
      </w:r>
      <w:r w:rsidR="00D52CFB">
        <w:t xml:space="preserve"> Einführung der neuen Produkte im </w:t>
      </w:r>
      <w:proofErr w:type="spellStart"/>
      <w:r w:rsidR="00D52CFB">
        <w:t>Flexo</w:t>
      </w:r>
      <w:proofErr w:type="spellEnd"/>
      <w:r w:rsidR="00D52CFB">
        <w:t>-, Wellpappe- und Digitaldruck belastet und lag nach neun Monaten bei -19,9 Mio. € (</w:t>
      </w:r>
      <w:proofErr w:type="spellStart"/>
      <w:r w:rsidR="00D52CFB">
        <w:t>Vj</w:t>
      </w:r>
      <w:proofErr w:type="spellEnd"/>
      <w:r w:rsidR="00D52CFB">
        <w:t xml:space="preserve">.: -14,7 Mio. €). </w:t>
      </w:r>
    </w:p>
    <w:p w14:paraId="2E01E6B2" w14:textId="77777777" w:rsidR="00381379" w:rsidRDefault="00381379" w:rsidP="00801D89">
      <w:pPr>
        <w:pStyle w:val="Default"/>
        <w:spacing w:line="276" w:lineRule="auto"/>
      </w:pPr>
    </w:p>
    <w:p w14:paraId="645F5F7C" w14:textId="20AC80A1" w:rsidR="00D52CFB" w:rsidRDefault="00D52CFB" w:rsidP="00801D89">
      <w:pPr>
        <w:pStyle w:val="Default"/>
        <w:spacing w:line="276" w:lineRule="auto"/>
      </w:pPr>
      <w:r>
        <w:t xml:space="preserve">Im Segment </w:t>
      </w:r>
      <w:proofErr w:type="spellStart"/>
      <w:r>
        <w:t>Sheetfed</w:t>
      </w:r>
      <w:proofErr w:type="spellEnd"/>
      <w:r>
        <w:t xml:space="preserve"> lag der Auftragsein</w:t>
      </w:r>
      <w:r w:rsidR="00381379">
        <w:t xml:space="preserve">gang in den ersten neun Monaten </w:t>
      </w:r>
      <w:r>
        <w:t xml:space="preserve">2023 bei 454,4 Mio. € und damit um 30,2 % unterhalb des extrem hohen Vorjahreswertes, der auch durch Nachholeffekte aufgrund der </w:t>
      </w:r>
      <w:proofErr w:type="spellStart"/>
      <w:r>
        <w:t>Covid</w:t>
      </w:r>
      <w:proofErr w:type="spellEnd"/>
      <w:r>
        <w:t xml:space="preserve">-Pandemie sowie durch eine stärkere Bevorratung der Kunden und der </w:t>
      </w:r>
      <w:proofErr w:type="spellStart"/>
      <w:r>
        <w:t>Brandowner</w:t>
      </w:r>
      <w:proofErr w:type="spellEnd"/>
      <w:r>
        <w:t xml:space="preserve"> aufgrund der Liefer- und Materialengpässe geprägt war. Diese hatte sich erwartungsgemäß bis zum ersten Halbjahr auf ein robustes Nachfrageniveau reduziert. </w:t>
      </w:r>
      <w:r w:rsidR="00B93375">
        <w:t xml:space="preserve">Der Umsatz </w:t>
      </w:r>
      <w:r>
        <w:t>erhöhte sich um 17,0 % auf 531,4 Mio. € (</w:t>
      </w:r>
      <w:proofErr w:type="spellStart"/>
      <w:r>
        <w:t>Vj</w:t>
      </w:r>
      <w:proofErr w:type="spellEnd"/>
      <w:r>
        <w:t xml:space="preserve">.: 454,1 Mio. €). Das EBIT lag mit 12,1 Mio. € zum 30. September 2023 deutlich über dem Vorjahreswert von 4,0 Mio. €. </w:t>
      </w:r>
    </w:p>
    <w:p w14:paraId="7291BE71" w14:textId="2C3E34B7" w:rsidR="00381379" w:rsidRDefault="00381379" w:rsidP="00801D89">
      <w:pPr>
        <w:pStyle w:val="Default"/>
        <w:spacing w:line="276" w:lineRule="auto"/>
      </w:pPr>
    </w:p>
    <w:p w14:paraId="27294B1E" w14:textId="77777777" w:rsidR="00381379" w:rsidRDefault="00381379" w:rsidP="00801D89">
      <w:pPr>
        <w:pStyle w:val="Default"/>
        <w:spacing w:line="276" w:lineRule="auto"/>
      </w:pPr>
      <w:r>
        <w:t>Der Auftragseingang im Segment Special zum 30. September 2023 lag</w:t>
      </w:r>
    </w:p>
    <w:p w14:paraId="76337CC3" w14:textId="77777777" w:rsidR="00381379" w:rsidRDefault="00381379" w:rsidP="00801D89">
      <w:pPr>
        <w:pStyle w:val="Default"/>
        <w:spacing w:line="276" w:lineRule="auto"/>
      </w:pPr>
      <w:r>
        <w:t>mit 270,7 Mio. € (</w:t>
      </w:r>
      <w:proofErr w:type="spellStart"/>
      <w:r>
        <w:t>Vj</w:t>
      </w:r>
      <w:proofErr w:type="spellEnd"/>
      <w:r>
        <w:t>.: 313,7 Mio. €) um 13,7 % unter dem Vorjahr. Die Bestellungen</w:t>
      </w:r>
    </w:p>
    <w:p w14:paraId="30462DE4" w14:textId="77777777" w:rsidR="00381379" w:rsidRDefault="00381379" w:rsidP="00801D89">
      <w:pPr>
        <w:pStyle w:val="Default"/>
        <w:spacing w:line="276" w:lineRule="auto"/>
      </w:pPr>
      <w:r>
        <w:t>bei Banknote Solutions (Banknoten- und Sicherheitsdruck), bei</w:t>
      </w:r>
    </w:p>
    <w:p w14:paraId="0F5B50C8" w14:textId="77777777" w:rsidR="00381379" w:rsidRDefault="00381379" w:rsidP="00801D89">
      <w:pPr>
        <w:pStyle w:val="Default"/>
        <w:spacing w:line="276" w:lineRule="auto"/>
      </w:pPr>
      <w:proofErr w:type="spellStart"/>
      <w:r>
        <w:t>MetalPrint</w:t>
      </w:r>
      <w:proofErr w:type="spellEnd"/>
      <w:r>
        <w:t xml:space="preserve"> (Metallverpackungen) und </w:t>
      </w:r>
      <w:proofErr w:type="spellStart"/>
      <w:r>
        <w:t>Coding</w:t>
      </w:r>
      <w:proofErr w:type="spellEnd"/>
      <w:r>
        <w:t xml:space="preserve"> (Kennzeichnungslösungen für</w:t>
      </w:r>
    </w:p>
    <w:p w14:paraId="7AFE31F0" w14:textId="6B8AC423" w:rsidR="00381379" w:rsidRDefault="00381379" w:rsidP="00801D89">
      <w:pPr>
        <w:pStyle w:val="Default"/>
        <w:spacing w:line="276" w:lineRule="auto"/>
      </w:pPr>
      <w:r>
        <w:t>alle Branchen) lagen unterhalb des Vorjahreswertes. Dagegen ist der Auftragseingang bei Kammann (Direktdekoration von Hohlkörpern aus</w:t>
      </w:r>
    </w:p>
    <w:p w14:paraId="69791BEE" w14:textId="1877133E" w:rsidR="00381379" w:rsidRDefault="00381379" w:rsidP="00801D89">
      <w:pPr>
        <w:pStyle w:val="Default"/>
        <w:spacing w:line="276" w:lineRule="auto"/>
      </w:pPr>
      <w:r>
        <w:t>Glas und Kunststoff) gestiegen. Im Neunmonatszeitraum lag der Umsatz mit 281,2 Mio. € (</w:t>
      </w:r>
      <w:proofErr w:type="spellStart"/>
      <w:r>
        <w:t>Vj</w:t>
      </w:r>
      <w:proofErr w:type="spellEnd"/>
      <w:r>
        <w:t xml:space="preserve">.: 280,7 Mio. €) noch leicht über dem Vorjahr. </w:t>
      </w:r>
      <w:r w:rsidR="001E17B4">
        <w:t>D</w:t>
      </w:r>
      <w:r>
        <w:t xml:space="preserve">as EBIT </w:t>
      </w:r>
      <w:r w:rsidR="001E17B4">
        <w:t xml:space="preserve">lag </w:t>
      </w:r>
      <w:r>
        <w:t>mit 4,3 Mio. € (</w:t>
      </w:r>
      <w:proofErr w:type="spellStart"/>
      <w:r>
        <w:t>Vj</w:t>
      </w:r>
      <w:proofErr w:type="spellEnd"/>
      <w:r>
        <w:t xml:space="preserve">.: 4,0 </w:t>
      </w:r>
      <w:proofErr w:type="spellStart"/>
      <w:r>
        <w:t>Mio</w:t>
      </w:r>
      <w:proofErr w:type="spellEnd"/>
      <w:r>
        <w:t xml:space="preserve">, €) </w:t>
      </w:r>
      <w:r w:rsidR="001E17B4">
        <w:t xml:space="preserve">um 7,5 % über dem Vorjahreswert </w:t>
      </w:r>
      <w:r>
        <w:t>und beinhaltet neben der genannte</w:t>
      </w:r>
      <w:r w:rsidR="001E17B4">
        <w:t xml:space="preserve">n Verschiebung der nach wie vor </w:t>
      </w:r>
      <w:r>
        <w:t>robusten Auftragspipeline auch den kurz</w:t>
      </w:r>
      <w:r w:rsidR="001E17B4">
        <w:t xml:space="preserve">fristigen Ausfall zweier Kunden </w:t>
      </w:r>
      <w:r>
        <w:t>der Banknote Solutions, die ihren jeweiligen S</w:t>
      </w:r>
      <w:r w:rsidR="001E17B4">
        <w:t xml:space="preserve">itz im Sudan und Argentinien </w:t>
      </w:r>
      <w:r>
        <w:t xml:space="preserve">haben. </w:t>
      </w:r>
    </w:p>
    <w:p w14:paraId="4725722D" w14:textId="452FDBEE" w:rsidR="009E5041" w:rsidRDefault="009E5041" w:rsidP="004F5318">
      <w:pPr>
        <w:rPr>
          <w:sz w:val="24"/>
          <w:szCs w:val="24"/>
          <w:lang w:val="de-DE"/>
        </w:rPr>
      </w:pPr>
    </w:p>
    <w:p w14:paraId="2BAB38EF" w14:textId="31C65B93" w:rsidR="00F1049A" w:rsidRDefault="004E09EB" w:rsidP="00801D89">
      <w:pPr>
        <w:pStyle w:val="Default"/>
        <w:spacing w:line="276" w:lineRule="auto"/>
      </w:pPr>
      <w:r w:rsidRPr="00557F0F">
        <w:rPr>
          <w:b/>
          <w:bCs/>
          <w:color w:val="002060"/>
        </w:rPr>
        <w:t>500 Mio. € Refinanzierung erfolgreich abgeschlossen</w:t>
      </w:r>
      <w:r w:rsidR="00894642">
        <w:rPr>
          <w:b/>
          <w:bCs/>
        </w:rPr>
        <w:br/>
      </w:r>
      <w:r w:rsidR="00894642" w:rsidRPr="00894642">
        <w:t>Das Unternehmen konnte Ende Oktober die</w:t>
      </w:r>
      <w:r w:rsidR="00894642">
        <w:t xml:space="preserve"> Refinanzierung des bestehenden </w:t>
      </w:r>
      <w:r w:rsidR="00894642" w:rsidRPr="00894642">
        <w:t>Konsortialkredits vorzeitig erfolgre</w:t>
      </w:r>
      <w:r w:rsidR="00894642">
        <w:t xml:space="preserve">ich abschließen und sorgt damit </w:t>
      </w:r>
      <w:r w:rsidR="00894642" w:rsidRPr="00894642">
        <w:t>für die mittelfristige Sicherstellung seiner F</w:t>
      </w:r>
      <w:r w:rsidR="00894642">
        <w:t>inanzierungsstabilität</w:t>
      </w:r>
      <w:r w:rsidR="00950A88">
        <w:t xml:space="preserve">. </w:t>
      </w:r>
    </w:p>
    <w:p w14:paraId="7AE8F0FF" w14:textId="77777777" w:rsidR="00F1049A" w:rsidRDefault="00F1049A" w:rsidP="00801D89">
      <w:pPr>
        <w:pStyle w:val="Default"/>
        <w:spacing w:line="276" w:lineRule="auto"/>
      </w:pPr>
    </w:p>
    <w:p w14:paraId="5D1D0CDB" w14:textId="6830738D" w:rsidR="00894642" w:rsidRPr="00894642" w:rsidRDefault="00F1049A" w:rsidP="00801D89">
      <w:pPr>
        <w:pStyle w:val="Default"/>
        <w:spacing w:line="276" w:lineRule="auto"/>
      </w:pPr>
      <w:r>
        <w:rPr>
          <w:color w:val="0A0F0A"/>
          <w:shd w:val="clear" w:color="auto" w:fill="FFFFFF"/>
        </w:rPr>
        <w:t xml:space="preserve">“Wie in der Vergangenheit ermöglichen die eigenen liquiden Mittel zusammen mit den flexibel nutzbaren Kreditlinien die Finanzierung des geplanten Wachstums im wachsenden Markt des Verpackungsdrucks und schaffen finanzielle Spielräume für strategische Investitionen und Akquisitionen” </w:t>
      </w:r>
      <w:r w:rsidRPr="00801D89">
        <w:rPr>
          <w:b/>
          <w:bCs/>
          <w:color w:val="0A0F0A"/>
          <w:shd w:val="clear" w:color="auto" w:fill="FFFFFF"/>
        </w:rPr>
        <w:t xml:space="preserve">so Dr. Stephen Kimmich, CFO der </w:t>
      </w:r>
      <w:proofErr w:type="spellStart"/>
      <w:r w:rsidRPr="00801D89">
        <w:rPr>
          <w:b/>
          <w:bCs/>
          <w:color w:val="0A0F0A"/>
          <w:shd w:val="clear" w:color="auto" w:fill="FFFFFF"/>
        </w:rPr>
        <w:t>Koenig</w:t>
      </w:r>
      <w:proofErr w:type="spellEnd"/>
      <w:r w:rsidRPr="00801D89">
        <w:rPr>
          <w:b/>
          <w:bCs/>
          <w:color w:val="0A0F0A"/>
          <w:shd w:val="clear" w:color="auto" w:fill="FFFFFF"/>
        </w:rPr>
        <w:t xml:space="preserve"> &amp; Bauer AG </w:t>
      </w:r>
      <w:r>
        <w:rPr>
          <w:color w:val="0A0F0A"/>
          <w:shd w:val="clear" w:color="auto" w:fill="FFFFFF"/>
        </w:rPr>
        <w:t xml:space="preserve">und ergänzt: “Mit der vorzeitigen Ablösung des im Zuge der Covid-19-Pandemie vereinbarten KfW-Kredits entfallen für </w:t>
      </w:r>
      <w:proofErr w:type="spellStart"/>
      <w:r>
        <w:rPr>
          <w:color w:val="0A0F0A"/>
          <w:shd w:val="clear" w:color="auto" w:fill="FFFFFF"/>
        </w:rPr>
        <w:t>Koenig</w:t>
      </w:r>
      <w:proofErr w:type="spellEnd"/>
      <w:r>
        <w:rPr>
          <w:color w:val="0A0F0A"/>
          <w:shd w:val="clear" w:color="auto" w:fill="FFFFFF"/>
        </w:rPr>
        <w:t xml:space="preserve"> &amp; Bauer alle damit einhergehenden Restriktionen.” </w:t>
      </w:r>
      <w:r>
        <w:br/>
      </w:r>
      <w:r>
        <w:br/>
      </w:r>
      <w:r w:rsidR="00894642">
        <w:t xml:space="preserve">Neben einer revolvierenden </w:t>
      </w:r>
      <w:r w:rsidR="00894642" w:rsidRPr="00894642">
        <w:t>Barkreditlinie von 300 Mio. € umf</w:t>
      </w:r>
      <w:r w:rsidR="00894642">
        <w:t xml:space="preserve">asst die Konsortialfinanzierung </w:t>
      </w:r>
      <w:r w:rsidR="00894642" w:rsidRPr="00894642">
        <w:t xml:space="preserve">eine </w:t>
      </w:r>
      <w:proofErr w:type="spellStart"/>
      <w:r w:rsidR="00894642" w:rsidRPr="00894642">
        <w:t>Avalkreditlinie</w:t>
      </w:r>
      <w:proofErr w:type="spellEnd"/>
      <w:r w:rsidR="00894642" w:rsidRPr="00894642">
        <w:t xml:space="preserve"> in Höhe von 200</w:t>
      </w:r>
      <w:r w:rsidR="00894642">
        <w:t xml:space="preserve"> Mio. €. Die Kreditlinien haben </w:t>
      </w:r>
      <w:r w:rsidR="00894642" w:rsidRPr="00894642">
        <w:t>eine Laufzeit von fünf Jahren</w:t>
      </w:r>
      <w:r w:rsidR="00894642">
        <w:t xml:space="preserve">, die im Konsens der </w:t>
      </w:r>
      <w:r w:rsidR="00894642" w:rsidRPr="00894642">
        <w:t>Kreditgeber optional um zusätzliche zwei Jahre verlänge</w:t>
      </w:r>
      <w:r w:rsidR="00894642">
        <w:t xml:space="preserve">rt werden kann. </w:t>
      </w:r>
      <w:r w:rsidR="00894642" w:rsidRPr="00894642">
        <w:t xml:space="preserve">Um zudem den Stellenwert, den </w:t>
      </w:r>
      <w:proofErr w:type="spellStart"/>
      <w:r w:rsidR="00894642" w:rsidRPr="00894642">
        <w:t>Koenig</w:t>
      </w:r>
      <w:proofErr w:type="spellEnd"/>
      <w:r w:rsidR="00894642" w:rsidRPr="00894642">
        <w:t xml:space="preserve"> &amp;</w:t>
      </w:r>
      <w:r w:rsidR="00894642">
        <w:t xml:space="preserve"> Bauer dem Thema Nachhaltigkeit </w:t>
      </w:r>
      <w:r w:rsidR="00894642" w:rsidRPr="00894642">
        <w:t>beimisst, auch im Bereich der Finanz</w:t>
      </w:r>
      <w:r w:rsidR="00894642">
        <w:t xml:space="preserve">ierung hervorzuheben, sieht das </w:t>
      </w:r>
      <w:r w:rsidR="00894642" w:rsidRPr="00894642">
        <w:t>Vertragswerk neben den üblichen Inhal</w:t>
      </w:r>
      <w:r w:rsidR="00894642">
        <w:t xml:space="preserve">ten der </w:t>
      </w:r>
      <w:proofErr w:type="spellStart"/>
      <w:r w:rsidR="00894642">
        <w:t>Loan</w:t>
      </w:r>
      <w:proofErr w:type="spellEnd"/>
      <w:r w:rsidR="00894642">
        <w:t xml:space="preserve"> Market </w:t>
      </w:r>
      <w:proofErr w:type="spellStart"/>
      <w:r w:rsidR="00894642">
        <w:t>Association</w:t>
      </w:r>
      <w:proofErr w:type="spellEnd"/>
      <w:r w:rsidR="00894642">
        <w:t xml:space="preserve"> </w:t>
      </w:r>
      <w:r w:rsidR="00894642" w:rsidRPr="00894642">
        <w:t>(LMA) nun auch eine ESG-Rendezvouskla</w:t>
      </w:r>
      <w:r w:rsidR="00894642">
        <w:t xml:space="preserve">usel vor, die, entsprechend der </w:t>
      </w:r>
      <w:r w:rsidR="00894642" w:rsidRPr="00894642">
        <w:t>Zustimmung aller an der Finanzierung bete</w:t>
      </w:r>
      <w:r w:rsidR="00894642">
        <w:t xml:space="preserve">iligten Parteien vorausgesetzt, </w:t>
      </w:r>
      <w:r w:rsidR="00894642" w:rsidRPr="00894642">
        <w:t>in 2024 umgesetzt werden soll.</w:t>
      </w:r>
    </w:p>
    <w:p w14:paraId="02E33204" w14:textId="41BB9057" w:rsidR="00894642" w:rsidRDefault="00894642" w:rsidP="004F5318">
      <w:pPr>
        <w:rPr>
          <w:b/>
          <w:bCs/>
          <w:sz w:val="24"/>
          <w:szCs w:val="24"/>
          <w:lang w:val="de-DE"/>
        </w:rPr>
      </w:pPr>
    </w:p>
    <w:p w14:paraId="71E95F01" w14:textId="75256762" w:rsidR="00326242" w:rsidRDefault="00E14A82" w:rsidP="004F5318">
      <w:pPr>
        <w:rPr>
          <w:rFonts w:eastAsiaTheme="minorEastAsia"/>
          <w:color w:val="000000"/>
          <w:sz w:val="24"/>
          <w:szCs w:val="24"/>
          <w:lang w:val="de-DE" w:eastAsia="ja-JP"/>
          <w14:ligatures w14:val="standardContextual"/>
        </w:rPr>
      </w:pPr>
      <w:r w:rsidRPr="00557F0F">
        <w:rPr>
          <w:b/>
          <w:bCs/>
          <w:color w:val="002060"/>
          <w:sz w:val="24"/>
          <w:szCs w:val="24"/>
          <w:lang w:val="de-DE"/>
        </w:rPr>
        <w:t>Maßnahmen zur E</w:t>
      </w:r>
      <w:r w:rsidR="003D451A" w:rsidRPr="00557F0F">
        <w:rPr>
          <w:b/>
          <w:bCs/>
          <w:color w:val="002060"/>
          <w:sz w:val="24"/>
          <w:szCs w:val="24"/>
          <w:lang w:val="de-DE"/>
        </w:rPr>
        <w:t>rgebnisverbesserung</w:t>
      </w:r>
      <w:r w:rsidR="002F3A35">
        <w:rPr>
          <w:sz w:val="24"/>
          <w:szCs w:val="24"/>
          <w:lang w:val="de-DE"/>
        </w:rPr>
        <w:br/>
      </w:r>
      <w:r w:rsidRPr="00326242">
        <w:rPr>
          <w:rFonts w:eastAsiaTheme="minorEastAsia"/>
          <w:color w:val="000000"/>
          <w:sz w:val="24"/>
          <w:szCs w:val="24"/>
          <w:lang w:val="de-DE" w:eastAsia="ja-JP"/>
          <w14:ligatures w14:val="standardContextual"/>
        </w:rPr>
        <w:t xml:space="preserve">Aufgrund des aktuellen Ausbleibens der Nachfragebelebung intensiviert das Unternehmen das Kostenmanagement. Dies beinhaltet auch den verstärkten Einsatz flexibler Arbeitszeitinstrumente. Diese Maßnahmen sollen zu einer Steigerung der </w:t>
      </w:r>
      <w:proofErr w:type="spellStart"/>
      <w:r w:rsidRPr="00326242">
        <w:rPr>
          <w:rFonts w:eastAsiaTheme="minorEastAsia"/>
          <w:color w:val="000000"/>
          <w:sz w:val="24"/>
          <w:szCs w:val="24"/>
          <w:lang w:val="de-DE" w:eastAsia="ja-JP"/>
          <w14:ligatures w14:val="standardContextual"/>
        </w:rPr>
        <w:t>Ergebnisresilienz</w:t>
      </w:r>
      <w:proofErr w:type="spellEnd"/>
      <w:r w:rsidRPr="00326242">
        <w:rPr>
          <w:rFonts w:eastAsiaTheme="minorEastAsia"/>
          <w:color w:val="000000"/>
          <w:sz w:val="24"/>
          <w:szCs w:val="24"/>
          <w:lang w:val="de-DE" w:eastAsia="ja-JP"/>
          <w14:ligatures w14:val="standardContextual"/>
        </w:rPr>
        <w:t xml:space="preserve"> beitragen und die Kostenstrukturen an das aktuell schwierige ökonomische Umfeld anpassen. </w:t>
      </w:r>
      <w:proofErr w:type="spellStart"/>
      <w:r w:rsidR="00B7191E" w:rsidRPr="00326242">
        <w:rPr>
          <w:rFonts w:eastAsiaTheme="minorEastAsia"/>
          <w:color w:val="000000"/>
          <w:sz w:val="24"/>
          <w:szCs w:val="24"/>
          <w:lang w:val="de-DE" w:eastAsia="ja-JP"/>
          <w14:ligatures w14:val="standardContextual"/>
        </w:rPr>
        <w:t>Koenig</w:t>
      </w:r>
      <w:proofErr w:type="spellEnd"/>
      <w:r w:rsidR="00B7191E" w:rsidRPr="00326242">
        <w:rPr>
          <w:rFonts w:eastAsiaTheme="minorEastAsia"/>
          <w:color w:val="000000"/>
          <w:sz w:val="24"/>
          <w:szCs w:val="24"/>
          <w:lang w:val="de-DE" w:eastAsia="ja-JP"/>
          <w14:ligatures w14:val="standardContextual"/>
        </w:rPr>
        <w:t xml:space="preserve"> &amp; Bauer wird die Zielsetzung für die Jahre 2024 und 2025 im Rahmen der Veröffentlichung der Zahlen für das Geschäftsjahr 2023 konkretisieren.</w:t>
      </w:r>
    </w:p>
    <w:p w14:paraId="270D2CD5" w14:textId="77777777" w:rsidR="00326242" w:rsidRDefault="00326242" w:rsidP="00801D89">
      <w:pPr>
        <w:pStyle w:val="StandardWeb"/>
        <w:shd w:val="clear" w:color="auto" w:fill="FFFFFF"/>
        <w:spacing w:line="276" w:lineRule="auto"/>
        <w:rPr>
          <w:rFonts w:ascii="Arial" w:hAnsi="Arial" w:cs="Arial"/>
          <w:color w:val="0A0F0A"/>
        </w:rPr>
      </w:pPr>
      <w:r>
        <w:rPr>
          <w:rFonts w:ascii="Arial" w:hAnsi="Arial" w:cs="Arial"/>
          <w:color w:val="0A0F0A"/>
        </w:rPr>
        <w:t>[</w:t>
      </w:r>
      <w:hyperlink r:id="rId7" w:history="1">
        <w:r>
          <w:rPr>
            <w:rStyle w:val="Hyperlink"/>
            <w:rFonts w:ascii="Arial" w:hAnsi="Arial" w:cs="Arial"/>
            <w:color w:val="F02D32"/>
          </w:rPr>
          <w:t>Zahlen auf einen Blick</w:t>
        </w:r>
      </w:hyperlink>
      <w:r>
        <w:rPr>
          <w:rFonts w:ascii="Arial" w:hAnsi="Arial" w:cs="Arial"/>
          <w:color w:val="0A0F0A"/>
        </w:rPr>
        <w:t>]</w:t>
      </w:r>
    </w:p>
    <w:p w14:paraId="3F7DA7E4" w14:textId="0A49A6B9" w:rsidR="00326242" w:rsidRDefault="00326242" w:rsidP="00801D89">
      <w:pPr>
        <w:pStyle w:val="StandardWeb"/>
        <w:shd w:val="clear" w:color="auto" w:fill="FFFFFF"/>
        <w:spacing w:line="276" w:lineRule="auto"/>
        <w:rPr>
          <w:rFonts w:ascii="Arial" w:hAnsi="Arial" w:cs="Arial"/>
          <w:color w:val="0A0F0A"/>
        </w:rPr>
      </w:pPr>
      <w:r>
        <w:rPr>
          <w:rFonts w:ascii="Arial" w:hAnsi="Arial" w:cs="Arial"/>
          <w:color w:val="0A0F0A"/>
        </w:rPr>
        <w:t>Die Zwischenmitteilung für das 3. Quartal 2023 steht als PDF-Download [</w:t>
      </w:r>
      <w:hyperlink r:id="rId8" w:history="1">
        <w:r>
          <w:rPr>
            <w:rStyle w:val="Hyperlink"/>
            <w:rFonts w:ascii="Arial" w:hAnsi="Arial" w:cs="Arial"/>
            <w:color w:val="F02D32"/>
          </w:rPr>
          <w:t>hier</w:t>
        </w:r>
      </w:hyperlink>
      <w:r>
        <w:rPr>
          <w:rFonts w:ascii="Arial" w:hAnsi="Arial" w:cs="Arial"/>
          <w:color w:val="0A0F0A"/>
        </w:rPr>
        <w:t>] zur Verfügung.</w:t>
      </w:r>
    </w:p>
    <w:p w14:paraId="65BAE8A9" w14:textId="77777777" w:rsidR="0064287A" w:rsidRPr="00A83D32" w:rsidRDefault="0064287A" w:rsidP="0064287A">
      <w:pPr>
        <w:pStyle w:val="berschrift4"/>
        <w:rPr>
          <w:lang w:val="de-DE"/>
        </w:rPr>
      </w:pPr>
      <w:r w:rsidRPr="00A83D32">
        <w:rPr>
          <w:lang w:val="de-DE"/>
        </w:rPr>
        <w:t>Foto:</w:t>
      </w:r>
    </w:p>
    <w:p w14:paraId="0CDAE061" w14:textId="3C501D12" w:rsidR="00C75ADD" w:rsidRPr="00CE182E" w:rsidRDefault="0064287A" w:rsidP="004F5318">
      <w:pPr>
        <w:rPr>
          <w:lang w:val="de-DE"/>
        </w:rPr>
      </w:pPr>
      <w:proofErr w:type="spellStart"/>
      <w:r w:rsidRPr="00A83D32">
        <w:rPr>
          <w:lang w:val="de-DE"/>
        </w:rPr>
        <w:t>Metamor</w:t>
      </w:r>
      <w:proofErr w:type="spellEnd"/>
      <w:r w:rsidRPr="00A83D32">
        <w:rPr>
          <w:lang w:val="de-DE"/>
        </w:rPr>
        <w:t>[e]</w:t>
      </w:r>
      <w:proofErr w:type="spellStart"/>
      <w:r w:rsidRPr="00A83D32">
        <w:rPr>
          <w:lang w:val="de-DE"/>
        </w:rPr>
        <w:t>phose</w:t>
      </w:r>
      <w:proofErr w:type="spellEnd"/>
      <w:r w:rsidRPr="00A83D32">
        <w:rPr>
          <w:lang w:val="de-DE"/>
        </w:rPr>
        <w:t xml:space="preserve">: Nicht nur das Motto und die Imagestrecke der diesjährigen Geschäftsberichts-Zusammenfassung der </w:t>
      </w:r>
      <w:proofErr w:type="spellStart"/>
      <w:r w:rsidRPr="00A83D32">
        <w:rPr>
          <w:lang w:val="de-DE"/>
        </w:rPr>
        <w:t>Koenig</w:t>
      </w:r>
      <w:proofErr w:type="spellEnd"/>
      <w:r w:rsidRPr="00A83D32">
        <w:rPr>
          <w:lang w:val="de-DE"/>
        </w:rPr>
        <w:t xml:space="preserve"> &amp; Bauer-Gruppe – vielmehr die Unternehmensmaxime, denn es liegt in der DNA der über 200-jährigen Unternehmensgeschichte, sich stetig weiterzuentwickeln. Das Streben nach „</w:t>
      </w:r>
      <w:r>
        <w:rPr>
          <w:lang w:val="de-DE"/>
        </w:rPr>
        <w:t>m</w:t>
      </w:r>
      <w:r w:rsidRPr="00A83D32">
        <w:rPr>
          <w:lang w:val="de-DE"/>
        </w:rPr>
        <w:t xml:space="preserve">ehr“ bedeutet, über das Bekannte hinauszudenken. Es bedeutet, Grenzen zu überschreiten und offen für Neues zu sein. Gleichzeitig </w:t>
      </w:r>
      <w:r>
        <w:rPr>
          <w:lang w:val="de-DE"/>
        </w:rPr>
        <w:t>verdeutlicht</w:t>
      </w:r>
      <w:r w:rsidRPr="00A83D32">
        <w:rPr>
          <w:lang w:val="de-DE"/>
        </w:rPr>
        <w:t xml:space="preserve"> es, wie wichtig Anpassungsfähigkeit seit jeher für unser Unternehmen ist und wie unsere Strategie </w:t>
      </w:r>
      <w:r>
        <w:rPr>
          <w:lang w:val="de-DE"/>
        </w:rPr>
        <w:t>„</w:t>
      </w:r>
      <w:proofErr w:type="spellStart"/>
      <w:r w:rsidRPr="00A83D32">
        <w:rPr>
          <w:lang w:val="de-DE"/>
        </w:rPr>
        <w:t>Exceeding</w:t>
      </w:r>
      <w:proofErr w:type="spellEnd"/>
      <w:r w:rsidRPr="00A83D32">
        <w:rPr>
          <w:lang w:val="de-DE"/>
        </w:rPr>
        <w:t xml:space="preserve"> Print</w:t>
      </w:r>
      <w:r>
        <w:rPr>
          <w:lang w:val="de-DE"/>
        </w:rPr>
        <w:t>“</w:t>
      </w:r>
      <w:r w:rsidRPr="00A83D32">
        <w:rPr>
          <w:lang w:val="de-DE"/>
        </w:rPr>
        <w:t xml:space="preserve"> </w:t>
      </w:r>
      <w:r>
        <w:rPr>
          <w:lang w:val="de-DE"/>
        </w:rPr>
        <w:t xml:space="preserve">es </w:t>
      </w:r>
      <w:r w:rsidRPr="00A83D32">
        <w:rPr>
          <w:lang w:val="de-DE"/>
        </w:rPr>
        <w:t>uns ermöglicht, die notwendige Transformation zu meistern.</w:t>
      </w:r>
      <w:r w:rsidRPr="00A83D32">
        <w:rPr>
          <w:lang w:val="de-DE"/>
        </w:rPr>
        <w:br/>
        <w:t xml:space="preserve">© </w:t>
      </w:r>
      <w:proofErr w:type="spellStart"/>
      <w:r w:rsidRPr="00A83D32">
        <w:rPr>
          <w:lang w:val="de-DE"/>
        </w:rPr>
        <w:t>Koenig</w:t>
      </w:r>
      <w:proofErr w:type="spellEnd"/>
      <w:r w:rsidRPr="00A83D32">
        <w:rPr>
          <w:lang w:val="de-DE"/>
        </w:rPr>
        <w:t xml:space="preserve"> &amp; Bauer</w:t>
      </w:r>
      <w:bookmarkStart w:id="2" w:name="_83ymfun89338" w:colFirst="0" w:colLast="0"/>
      <w:bookmarkEnd w:id="2"/>
    </w:p>
    <w:p w14:paraId="43DEB06C" w14:textId="77777777" w:rsidR="00C75ADD" w:rsidRPr="00E4444A" w:rsidRDefault="00C75ADD" w:rsidP="004F5318">
      <w:pPr>
        <w:pStyle w:val="berschrift4"/>
        <w:rPr>
          <w:lang w:val="de-DE"/>
        </w:rPr>
      </w:pPr>
      <w:r w:rsidRPr="00E4444A">
        <w:rPr>
          <w:lang w:val="de-DE"/>
        </w:rPr>
        <w:t xml:space="preserve">Ansprechpartner für </w:t>
      </w:r>
      <w:r>
        <w:rPr>
          <w:lang w:val="de-DE"/>
        </w:rPr>
        <w:t xml:space="preserve">Investor Relations </w:t>
      </w:r>
    </w:p>
    <w:p w14:paraId="43307CCD" w14:textId="31B45522" w:rsidR="00C75ADD" w:rsidRPr="0064287A" w:rsidRDefault="00C75ADD" w:rsidP="004F5318">
      <w:pPr>
        <w:rPr>
          <w:color w:val="1155CC"/>
          <w:u w:val="single"/>
          <w:lang w:val="de-DE"/>
        </w:rPr>
      </w:pPr>
      <w:proofErr w:type="spellStart"/>
      <w:r w:rsidRPr="00E4444A">
        <w:rPr>
          <w:lang w:val="de-DE"/>
        </w:rPr>
        <w:t>Koenig</w:t>
      </w:r>
      <w:proofErr w:type="spellEnd"/>
      <w:r w:rsidRPr="00E4444A">
        <w:rPr>
          <w:lang w:val="de-DE"/>
        </w:rPr>
        <w:t xml:space="preserve"> &amp; Bauer AG</w:t>
      </w:r>
      <w:r w:rsidRPr="00E4444A">
        <w:rPr>
          <w:lang w:val="de-DE"/>
        </w:rPr>
        <w:br/>
        <w:t xml:space="preserve">Lena </w:t>
      </w:r>
      <w:proofErr w:type="spellStart"/>
      <w:r w:rsidRPr="00E4444A">
        <w:rPr>
          <w:lang w:val="de-DE"/>
        </w:rPr>
        <w:t>Landenberger</w:t>
      </w:r>
      <w:proofErr w:type="spellEnd"/>
      <w:r w:rsidRPr="00E4444A">
        <w:rPr>
          <w:lang w:val="de-DE"/>
        </w:rPr>
        <w:br/>
        <w:t>T +49 931 909-4085</w:t>
      </w:r>
      <w:r w:rsidRPr="00E4444A">
        <w:rPr>
          <w:lang w:val="de-DE"/>
        </w:rPr>
        <w:br/>
        <w:t xml:space="preserve">M </w:t>
      </w:r>
      <w:hyperlink r:id="rId9">
        <w:r w:rsidRPr="00E4444A">
          <w:rPr>
            <w:color w:val="1155CC"/>
            <w:u w:val="single"/>
            <w:lang w:val="de-DE"/>
          </w:rPr>
          <w:t>lena.landenberger@koenig-bauer.com</w:t>
        </w:r>
      </w:hyperlink>
      <w:bookmarkStart w:id="3" w:name="_GoBack"/>
      <w:bookmarkEnd w:id="3"/>
    </w:p>
    <w:p w14:paraId="3630A881" w14:textId="77777777" w:rsidR="00C75ADD" w:rsidRPr="00E4444A" w:rsidRDefault="00C75ADD" w:rsidP="004F5318">
      <w:pPr>
        <w:pStyle w:val="berschrift4"/>
        <w:rPr>
          <w:lang w:val="de-DE"/>
        </w:rPr>
      </w:pPr>
      <w:bookmarkStart w:id="4" w:name="_tpuprre435be" w:colFirst="0" w:colLast="0"/>
      <w:bookmarkEnd w:id="4"/>
      <w:r w:rsidRPr="00E4444A">
        <w:rPr>
          <w:lang w:val="de-DE"/>
        </w:rPr>
        <w:t xml:space="preserve">Über </w:t>
      </w:r>
      <w:proofErr w:type="spellStart"/>
      <w:r w:rsidRPr="00E4444A">
        <w:rPr>
          <w:lang w:val="de-DE"/>
        </w:rPr>
        <w:t>Koenig</w:t>
      </w:r>
      <w:proofErr w:type="spellEnd"/>
      <w:r w:rsidRPr="00E4444A">
        <w:rPr>
          <w:lang w:val="de-DE"/>
        </w:rPr>
        <w:t xml:space="preserve"> &amp; Bauer</w:t>
      </w:r>
    </w:p>
    <w:p w14:paraId="03BD2326" w14:textId="77777777" w:rsidR="00C75ADD" w:rsidRDefault="00C75ADD" w:rsidP="004F5318">
      <w:pPr>
        <w:rPr>
          <w:lang w:val="de-DE"/>
        </w:rPr>
      </w:pPr>
      <w:proofErr w:type="spellStart"/>
      <w:r w:rsidRPr="00FD3E5B">
        <w:rPr>
          <w:lang w:val="de-DE"/>
        </w:rPr>
        <w:t>Koenig</w:t>
      </w:r>
      <w:proofErr w:type="spellEnd"/>
      <w:r w:rsidRPr="00FD3E5B">
        <w:rPr>
          <w:lang w:val="de-DE"/>
        </w:rPr>
        <w:t xml:space="preserve">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w:t>
      </w:r>
      <w:proofErr w:type="spellStart"/>
      <w:r w:rsidRPr="00FD3E5B">
        <w:rPr>
          <w:lang w:val="de-DE"/>
        </w:rPr>
        <w:t>Flexodruck</w:t>
      </w:r>
      <w:proofErr w:type="spellEnd"/>
      <w:r w:rsidRPr="00FD3E5B">
        <w:rPr>
          <w:lang w:val="de-DE"/>
        </w:rPr>
        <w:t xml:space="preserve"> bei Bogen und Rolle, wasserloser Offset, Stahlstich-, Simultan- und Siebdruck oder digitaler </w:t>
      </w:r>
      <w:proofErr w:type="spellStart"/>
      <w:r w:rsidRPr="00FD3E5B">
        <w:rPr>
          <w:lang w:val="de-DE"/>
        </w:rPr>
        <w:t>Inkjetdruck</w:t>
      </w:r>
      <w:proofErr w:type="spellEnd"/>
      <w:r w:rsidRPr="00FD3E5B">
        <w:rPr>
          <w:lang w:val="de-DE"/>
        </w:rPr>
        <w:t xml:space="preserve"> – in fast allen Druckverfahren ist </w:t>
      </w:r>
      <w:proofErr w:type="spellStart"/>
      <w:r w:rsidRPr="00FD3E5B">
        <w:rPr>
          <w:lang w:val="de-DE"/>
        </w:rPr>
        <w:t>Koenig</w:t>
      </w:r>
      <w:proofErr w:type="spellEnd"/>
      <w:r w:rsidRPr="00FD3E5B">
        <w:rPr>
          <w:lang w:val="de-DE"/>
        </w:rPr>
        <w:t xml:space="preserve"> &amp; Bauer zu Hause und häufi</w:t>
      </w:r>
      <w:r>
        <w:rPr>
          <w:lang w:val="de-DE"/>
        </w:rPr>
        <w:t xml:space="preserve">g führend. Im Geschäftsjahr 2022 erwirtschafteten die 5.485 </w:t>
      </w:r>
      <w:r w:rsidRPr="00FD3E5B">
        <w:rPr>
          <w:lang w:val="de-DE"/>
        </w:rPr>
        <w:t xml:space="preserve">hoch qualifizierten Mitarbeiterinnen und Mitarbeiter weltweit einen Jahresumsatz von </w:t>
      </w:r>
      <w:r>
        <w:rPr>
          <w:lang w:val="de-DE"/>
        </w:rPr>
        <w:t xml:space="preserve">rund </w:t>
      </w:r>
      <w:r w:rsidRPr="00FD3E5B">
        <w:rPr>
          <w:lang w:val="de-DE"/>
        </w:rPr>
        <w:t>1,</w:t>
      </w:r>
      <w:r>
        <w:rPr>
          <w:lang w:val="de-DE"/>
        </w:rPr>
        <w:t>186</w:t>
      </w:r>
      <w:r w:rsidRPr="00FD3E5B">
        <w:rPr>
          <w:lang w:val="de-DE"/>
        </w:rPr>
        <w:t xml:space="preserve"> Milliarden Euro.</w:t>
      </w:r>
    </w:p>
    <w:p w14:paraId="4B4AA00F" w14:textId="097944C8" w:rsidR="001273A6" w:rsidRPr="00C75ADD" w:rsidRDefault="00C75ADD" w:rsidP="004F5318">
      <w:pPr>
        <w:rPr>
          <w:lang w:val="de-DE"/>
        </w:rPr>
      </w:pPr>
      <w:r w:rsidRPr="00E4444A">
        <w:rPr>
          <w:lang w:val="de-DE"/>
        </w:rPr>
        <w:t xml:space="preserve">Weitere Informationen unter </w:t>
      </w:r>
      <w:r>
        <w:rPr>
          <w:lang w:val="de-DE"/>
        </w:rPr>
        <w:t>http://www.koenig-bauer.com</w:t>
      </w:r>
    </w:p>
    <w:sectPr w:rsidR="001273A6" w:rsidRPr="00C75ADD">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57E9" w14:textId="77777777" w:rsidR="00EC7304" w:rsidRDefault="00EC7304">
      <w:pPr>
        <w:spacing w:after="0" w:line="240" w:lineRule="auto"/>
      </w:pPr>
      <w:r>
        <w:separator/>
      </w:r>
    </w:p>
  </w:endnote>
  <w:endnote w:type="continuationSeparator" w:id="0">
    <w:p w14:paraId="42297FF7" w14:textId="77777777" w:rsidR="00EC7304" w:rsidRDefault="00EC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C264" w14:textId="77777777" w:rsidR="00F62E1F" w:rsidRDefault="00F62E1F">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D810" w14:textId="77777777" w:rsidR="00F62E1F" w:rsidRDefault="00F62E1F">
    <w:pPr>
      <w:widowControl w:val="0"/>
      <w:pBdr>
        <w:top w:val="nil"/>
        <w:left w:val="nil"/>
        <w:bottom w:val="nil"/>
        <w:right w:val="nil"/>
        <w:between w:val="nil"/>
      </w:pBdr>
      <w:spacing w:after="0"/>
      <w:rPr>
        <w:color w:val="000000"/>
        <w:sz w:val="14"/>
        <w:szCs w:val="14"/>
      </w:rPr>
    </w:pPr>
  </w:p>
  <w:tbl>
    <w:tblPr>
      <w:tblW w:w="906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D27BB" w14:paraId="78E95DCD" w14:textId="77777777">
      <w:tc>
        <w:tcPr>
          <w:tcW w:w="4530" w:type="dxa"/>
        </w:tcPr>
        <w:p w14:paraId="54BAAF8F" w14:textId="77777777" w:rsidR="00F62E1F" w:rsidRDefault="00F62E1F">
          <w:pPr>
            <w:pBdr>
              <w:top w:val="nil"/>
              <w:left w:val="nil"/>
              <w:bottom w:val="nil"/>
              <w:right w:val="nil"/>
              <w:between w:val="nil"/>
            </w:pBdr>
            <w:tabs>
              <w:tab w:val="center" w:pos="4536"/>
              <w:tab w:val="right" w:pos="9072"/>
            </w:tabs>
            <w:rPr>
              <w:color w:val="000000"/>
              <w:sz w:val="14"/>
              <w:szCs w:val="14"/>
            </w:rPr>
          </w:pPr>
        </w:p>
      </w:tc>
      <w:tc>
        <w:tcPr>
          <w:tcW w:w="4530" w:type="dxa"/>
        </w:tcPr>
        <w:p w14:paraId="18EDE14F" w14:textId="19B755D7" w:rsidR="00F62E1F" w:rsidRDefault="00B30E22" w:rsidP="00BC79FE">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64287A">
            <w:rPr>
              <w:noProof/>
              <w:color w:val="000000"/>
              <w:sz w:val="14"/>
              <w:szCs w:val="14"/>
            </w:rPr>
            <w:t>5</w:t>
          </w:r>
          <w:r>
            <w:rPr>
              <w:color w:val="000000"/>
              <w:sz w:val="14"/>
              <w:szCs w:val="14"/>
            </w:rPr>
            <w:fldChar w:fldCharType="end"/>
          </w:r>
        </w:p>
      </w:tc>
    </w:tr>
  </w:tbl>
  <w:p w14:paraId="2BC073F7" w14:textId="77777777" w:rsidR="00F62E1F" w:rsidRDefault="00F62E1F">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D369" w14:textId="77777777" w:rsidR="00F62E1F" w:rsidRDefault="00F62E1F">
    <w:pPr>
      <w:widowControl w:val="0"/>
      <w:pBdr>
        <w:top w:val="nil"/>
        <w:left w:val="nil"/>
        <w:bottom w:val="nil"/>
        <w:right w:val="nil"/>
        <w:between w:val="nil"/>
      </w:pBdr>
      <w:spacing w:after="0"/>
      <w:rPr>
        <w:color w:val="000000"/>
        <w:sz w:val="14"/>
        <w:szCs w:val="14"/>
      </w:rPr>
    </w:pPr>
  </w:p>
  <w:tbl>
    <w:tblPr>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D27BB" w14:paraId="7D430538" w14:textId="77777777">
      <w:trPr>
        <w:trHeight w:val="620"/>
      </w:trPr>
      <w:tc>
        <w:tcPr>
          <w:tcW w:w="2552" w:type="dxa"/>
        </w:tcPr>
        <w:p w14:paraId="0D4B3A4A" w14:textId="77777777" w:rsidR="00F62E1F" w:rsidRDefault="00F62E1F">
          <w:pPr>
            <w:pBdr>
              <w:top w:val="nil"/>
              <w:left w:val="nil"/>
              <w:bottom w:val="nil"/>
              <w:right w:val="nil"/>
              <w:between w:val="nil"/>
            </w:pBdr>
            <w:spacing w:line="288" w:lineRule="auto"/>
            <w:rPr>
              <w:color w:val="000000"/>
            </w:rPr>
          </w:pPr>
        </w:p>
      </w:tc>
      <w:tc>
        <w:tcPr>
          <w:tcW w:w="4536" w:type="dxa"/>
        </w:tcPr>
        <w:p w14:paraId="1A07E5E1" w14:textId="77777777" w:rsidR="00F62E1F" w:rsidRDefault="00F62E1F">
          <w:pPr>
            <w:pBdr>
              <w:top w:val="nil"/>
              <w:left w:val="nil"/>
              <w:bottom w:val="nil"/>
              <w:right w:val="nil"/>
              <w:between w:val="nil"/>
            </w:pBdr>
            <w:spacing w:line="288" w:lineRule="auto"/>
            <w:rPr>
              <w:color w:val="000000"/>
            </w:rPr>
          </w:pPr>
        </w:p>
      </w:tc>
      <w:tc>
        <w:tcPr>
          <w:tcW w:w="2693" w:type="dxa"/>
        </w:tcPr>
        <w:p w14:paraId="3C0A96AB" w14:textId="77777777" w:rsidR="00F62E1F" w:rsidRDefault="00F62E1F">
          <w:pPr>
            <w:pBdr>
              <w:top w:val="nil"/>
              <w:left w:val="nil"/>
              <w:bottom w:val="nil"/>
              <w:right w:val="nil"/>
              <w:between w:val="nil"/>
            </w:pBdr>
            <w:spacing w:line="288" w:lineRule="auto"/>
            <w:rPr>
              <w:color w:val="000000"/>
            </w:rPr>
          </w:pPr>
        </w:p>
      </w:tc>
    </w:tr>
  </w:tbl>
  <w:p w14:paraId="0F2C3327" w14:textId="77777777" w:rsidR="00F62E1F" w:rsidRDefault="00F62E1F">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6EE6" w14:textId="77777777" w:rsidR="00EC7304" w:rsidRDefault="00EC7304">
      <w:pPr>
        <w:spacing w:after="0" w:line="240" w:lineRule="auto"/>
      </w:pPr>
      <w:r>
        <w:separator/>
      </w:r>
    </w:p>
  </w:footnote>
  <w:footnote w:type="continuationSeparator" w:id="0">
    <w:p w14:paraId="0D83DE68" w14:textId="77777777" w:rsidR="00EC7304" w:rsidRDefault="00EC7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D058" w14:textId="77777777" w:rsidR="00F62E1F" w:rsidRDefault="00F62E1F">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B783" w14:textId="77777777" w:rsidR="00F62E1F" w:rsidRDefault="00B30E2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49BC972A" wp14:editId="63000ABC">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64B8" w14:textId="77777777" w:rsidR="00F62E1F" w:rsidRDefault="00B30E2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13A8BE65" wp14:editId="4B9CD1FA">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8593EAC"/>
    <w:multiLevelType w:val="hybridMultilevel"/>
    <w:tmpl w:val="F530B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DD"/>
    <w:rsid w:val="00006F3B"/>
    <w:rsid w:val="00020A9F"/>
    <w:rsid w:val="0006202F"/>
    <w:rsid w:val="000B074A"/>
    <w:rsid w:val="000E1D45"/>
    <w:rsid w:val="001273A6"/>
    <w:rsid w:val="001309F2"/>
    <w:rsid w:val="001A1C7A"/>
    <w:rsid w:val="001C6EF9"/>
    <w:rsid w:val="001E17B4"/>
    <w:rsid w:val="0024485F"/>
    <w:rsid w:val="00264AC3"/>
    <w:rsid w:val="002A440A"/>
    <w:rsid w:val="002C2FF1"/>
    <w:rsid w:val="002C485E"/>
    <w:rsid w:val="002F3A35"/>
    <w:rsid w:val="002F6821"/>
    <w:rsid w:val="003254C2"/>
    <w:rsid w:val="00326242"/>
    <w:rsid w:val="00381379"/>
    <w:rsid w:val="003D451A"/>
    <w:rsid w:val="00425F3C"/>
    <w:rsid w:val="00431883"/>
    <w:rsid w:val="0043786A"/>
    <w:rsid w:val="00467E69"/>
    <w:rsid w:val="004E09EB"/>
    <w:rsid w:val="004F5318"/>
    <w:rsid w:val="00500336"/>
    <w:rsid w:val="00500BB3"/>
    <w:rsid w:val="0051192C"/>
    <w:rsid w:val="00516EF7"/>
    <w:rsid w:val="00522861"/>
    <w:rsid w:val="005279E2"/>
    <w:rsid w:val="005560D6"/>
    <w:rsid w:val="00557F0F"/>
    <w:rsid w:val="005D1834"/>
    <w:rsid w:val="005F39C6"/>
    <w:rsid w:val="00616B6E"/>
    <w:rsid w:val="00621F1B"/>
    <w:rsid w:val="00632D47"/>
    <w:rsid w:val="00634669"/>
    <w:rsid w:val="0064287A"/>
    <w:rsid w:val="00645CF2"/>
    <w:rsid w:val="006737B3"/>
    <w:rsid w:val="00674118"/>
    <w:rsid w:val="006F7A52"/>
    <w:rsid w:val="00724C3A"/>
    <w:rsid w:val="0074786E"/>
    <w:rsid w:val="00753721"/>
    <w:rsid w:val="007667F6"/>
    <w:rsid w:val="00774429"/>
    <w:rsid w:val="007918FE"/>
    <w:rsid w:val="007A6752"/>
    <w:rsid w:val="007C1790"/>
    <w:rsid w:val="007C454B"/>
    <w:rsid w:val="00801D89"/>
    <w:rsid w:val="00874513"/>
    <w:rsid w:val="00894642"/>
    <w:rsid w:val="009202EA"/>
    <w:rsid w:val="00950A88"/>
    <w:rsid w:val="00952916"/>
    <w:rsid w:val="00961105"/>
    <w:rsid w:val="00982D50"/>
    <w:rsid w:val="009A59F1"/>
    <w:rsid w:val="009B2371"/>
    <w:rsid w:val="009D6CA7"/>
    <w:rsid w:val="009E5041"/>
    <w:rsid w:val="009F37FE"/>
    <w:rsid w:val="00A024D2"/>
    <w:rsid w:val="00A6076D"/>
    <w:rsid w:val="00AC062F"/>
    <w:rsid w:val="00AD2EF9"/>
    <w:rsid w:val="00AF6623"/>
    <w:rsid w:val="00B22685"/>
    <w:rsid w:val="00B30E22"/>
    <w:rsid w:val="00B40C7E"/>
    <w:rsid w:val="00B43331"/>
    <w:rsid w:val="00B549DD"/>
    <w:rsid w:val="00B66CB8"/>
    <w:rsid w:val="00B7191E"/>
    <w:rsid w:val="00B82E10"/>
    <w:rsid w:val="00B93375"/>
    <w:rsid w:val="00BB6AB6"/>
    <w:rsid w:val="00C341A4"/>
    <w:rsid w:val="00C75ADD"/>
    <w:rsid w:val="00CA06E1"/>
    <w:rsid w:val="00CC7BCA"/>
    <w:rsid w:val="00D21086"/>
    <w:rsid w:val="00D52CFB"/>
    <w:rsid w:val="00D60419"/>
    <w:rsid w:val="00D8294D"/>
    <w:rsid w:val="00DB2B2C"/>
    <w:rsid w:val="00DC2464"/>
    <w:rsid w:val="00E03BEC"/>
    <w:rsid w:val="00E0511C"/>
    <w:rsid w:val="00E14A82"/>
    <w:rsid w:val="00E159F0"/>
    <w:rsid w:val="00E51CE3"/>
    <w:rsid w:val="00E606DA"/>
    <w:rsid w:val="00E77570"/>
    <w:rsid w:val="00EC7304"/>
    <w:rsid w:val="00EC762D"/>
    <w:rsid w:val="00ED2F5D"/>
    <w:rsid w:val="00EE48AB"/>
    <w:rsid w:val="00EF61EF"/>
    <w:rsid w:val="00F1049A"/>
    <w:rsid w:val="00F3634A"/>
    <w:rsid w:val="00F40209"/>
    <w:rsid w:val="00F56657"/>
    <w:rsid w:val="00F5754C"/>
    <w:rsid w:val="00F62E1F"/>
    <w:rsid w:val="00F7041F"/>
    <w:rsid w:val="00F77D39"/>
    <w:rsid w:val="00FE7D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EA3B"/>
  <w15:chartTrackingRefBased/>
  <w15:docId w15:val="{278083E8-F302-0341-B30D-EB776641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75ADD"/>
    <w:pPr>
      <w:spacing w:after="240" w:line="276" w:lineRule="auto"/>
    </w:pPr>
    <w:rPr>
      <w:rFonts w:ascii="Arial" w:eastAsia="Arial" w:hAnsi="Arial" w:cs="Arial"/>
      <w:kern w:val="0"/>
      <w:sz w:val="20"/>
      <w:szCs w:val="20"/>
      <w:lang w:val="en-US" w:eastAsia="de-DE"/>
      <w14:ligatures w14:val="none"/>
    </w:rPr>
  </w:style>
  <w:style w:type="paragraph" w:styleId="berschrift3">
    <w:name w:val="heading 3"/>
    <w:basedOn w:val="Standard"/>
    <w:next w:val="Standard"/>
    <w:link w:val="berschrift3Zchn"/>
    <w:rsid w:val="00C75ADD"/>
    <w:pPr>
      <w:keepNext/>
      <w:keepLines/>
      <w:spacing w:after="0"/>
      <w:outlineLvl w:val="2"/>
    </w:pPr>
    <w:rPr>
      <w:b/>
      <w:color w:val="002355"/>
    </w:rPr>
  </w:style>
  <w:style w:type="paragraph" w:styleId="berschrift4">
    <w:name w:val="heading 4"/>
    <w:basedOn w:val="Standard"/>
    <w:next w:val="Standard"/>
    <w:link w:val="berschrift4Zchn"/>
    <w:rsid w:val="00C75ADD"/>
    <w:pPr>
      <w:keepNext/>
      <w:keepLines/>
      <w:spacing w:after="0"/>
      <w:outlineLvl w:val="3"/>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75ADD"/>
    <w:rPr>
      <w:rFonts w:ascii="Arial" w:eastAsia="Arial" w:hAnsi="Arial" w:cs="Arial"/>
      <w:b/>
      <w:color w:val="002355"/>
      <w:kern w:val="0"/>
      <w:sz w:val="20"/>
      <w:szCs w:val="20"/>
      <w:lang w:val="en-US" w:eastAsia="de-DE"/>
      <w14:ligatures w14:val="none"/>
    </w:rPr>
  </w:style>
  <w:style w:type="character" w:customStyle="1" w:styleId="berschrift4Zchn">
    <w:name w:val="Überschrift 4 Zchn"/>
    <w:basedOn w:val="Absatz-Standardschriftart"/>
    <w:link w:val="berschrift4"/>
    <w:rsid w:val="00C75ADD"/>
    <w:rPr>
      <w:rFonts w:ascii="Arial" w:eastAsia="Arial" w:hAnsi="Arial" w:cs="Arial"/>
      <w:b/>
      <w:color w:val="000000"/>
      <w:kern w:val="0"/>
      <w:sz w:val="20"/>
      <w:szCs w:val="20"/>
      <w:lang w:val="en-US" w:eastAsia="de-DE"/>
      <w14:ligatures w14:val="none"/>
    </w:rPr>
  </w:style>
  <w:style w:type="paragraph" w:styleId="Titel">
    <w:name w:val="Title"/>
    <w:basedOn w:val="Standard"/>
    <w:next w:val="Standard"/>
    <w:link w:val="TitelZchn"/>
    <w:rsid w:val="00C75ADD"/>
    <w:pPr>
      <w:tabs>
        <w:tab w:val="left" w:pos="850"/>
      </w:tabs>
      <w:spacing w:before="840" w:after="600" w:line="240" w:lineRule="auto"/>
    </w:pPr>
    <w:rPr>
      <w:b/>
      <w:color w:val="002355"/>
      <w:sz w:val="60"/>
      <w:szCs w:val="60"/>
    </w:rPr>
  </w:style>
  <w:style w:type="character" w:customStyle="1" w:styleId="TitelZchn">
    <w:name w:val="Titel Zchn"/>
    <w:basedOn w:val="Absatz-Standardschriftart"/>
    <w:link w:val="Titel"/>
    <w:rsid w:val="00C75ADD"/>
    <w:rPr>
      <w:rFonts w:ascii="Arial" w:eastAsia="Arial" w:hAnsi="Arial" w:cs="Arial"/>
      <w:b/>
      <w:color w:val="002355"/>
      <w:kern w:val="0"/>
      <w:sz w:val="60"/>
      <w:szCs w:val="60"/>
      <w:lang w:val="en-US" w:eastAsia="de-DE"/>
      <w14:ligatures w14:val="none"/>
    </w:rPr>
  </w:style>
  <w:style w:type="paragraph" w:styleId="Listenabsatz">
    <w:name w:val="List Paragraph"/>
    <w:basedOn w:val="Standard"/>
    <w:uiPriority w:val="34"/>
    <w:qFormat/>
    <w:rsid w:val="00C75ADD"/>
    <w:pPr>
      <w:ind w:left="720"/>
      <w:contextualSpacing/>
    </w:pPr>
  </w:style>
  <w:style w:type="paragraph" w:styleId="StandardWeb">
    <w:name w:val="Normal (Web)"/>
    <w:basedOn w:val="Standard"/>
    <w:uiPriority w:val="99"/>
    <w:semiHidden/>
    <w:unhideWhenUsed/>
    <w:rsid w:val="00C75ADD"/>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Kommentarzeichen">
    <w:name w:val="annotation reference"/>
    <w:basedOn w:val="Absatz-Standardschriftart"/>
    <w:uiPriority w:val="99"/>
    <w:semiHidden/>
    <w:unhideWhenUsed/>
    <w:rsid w:val="00C75AD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Arial" w:eastAsia="Arial" w:hAnsi="Arial" w:cs="Arial"/>
      <w:kern w:val="0"/>
      <w:sz w:val="20"/>
      <w:szCs w:val="20"/>
      <w:lang w:val="en-US" w:eastAsia="de-DE"/>
      <w14:ligatures w14:val="none"/>
    </w:rPr>
  </w:style>
  <w:style w:type="paragraph" w:styleId="Sprechblasentext">
    <w:name w:val="Balloon Text"/>
    <w:basedOn w:val="Standard"/>
    <w:link w:val="SprechblasentextZchn"/>
    <w:uiPriority w:val="99"/>
    <w:semiHidden/>
    <w:unhideWhenUsed/>
    <w:rsid w:val="00B82E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E10"/>
    <w:rPr>
      <w:rFonts w:ascii="Segoe UI" w:eastAsia="Arial" w:hAnsi="Segoe UI" w:cs="Segoe UI"/>
      <w:kern w:val="0"/>
      <w:sz w:val="18"/>
      <w:szCs w:val="18"/>
      <w:lang w:val="en-US" w:eastAsia="de-DE"/>
      <w14:ligatures w14:val="none"/>
    </w:rPr>
  </w:style>
  <w:style w:type="paragraph" w:styleId="Kommentarthema">
    <w:name w:val="annotation subject"/>
    <w:basedOn w:val="Kommentartext"/>
    <w:next w:val="Kommentartext"/>
    <w:link w:val="KommentarthemaZchn"/>
    <w:uiPriority w:val="99"/>
    <w:semiHidden/>
    <w:unhideWhenUsed/>
    <w:rsid w:val="007C454B"/>
    <w:rPr>
      <w:b/>
      <w:bCs/>
    </w:rPr>
  </w:style>
  <w:style w:type="character" w:customStyle="1" w:styleId="KommentarthemaZchn">
    <w:name w:val="Kommentarthema Zchn"/>
    <w:basedOn w:val="KommentartextZchn"/>
    <w:link w:val="Kommentarthema"/>
    <w:uiPriority w:val="99"/>
    <w:semiHidden/>
    <w:rsid w:val="007C454B"/>
    <w:rPr>
      <w:rFonts w:ascii="Arial" w:eastAsia="Arial" w:hAnsi="Arial" w:cs="Arial"/>
      <w:b/>
      <w:bCs/>
      <w:kern w:val="0"/>
      <w:sz w:val="20"/>
      <w:szCs w:val="20"/>
      <w:lang w:val="en-US" w:eastAsia="de-DE"/>
      <w14:ligatures w14:val="none"/>
    </w:rPr>
  </w:style>
  <w:style w:type="paragraph" w:styleId="berarbeitung">
    <w:name w:val="Revision"/>
    <w:hidden/>
    <w:uiPriority w:val="99"/>
    <w:semiHidden/>
    <w:rsid w:val="0006202F"/>
    <w:rPr>
      <w:rFonts w:ascii="Arial" w:eastAsia="Arial" w:hAnsi="Arial" w:cs="Arial"/>
      <w:kern w:val="0"/>
      <w:sz w:val="20"/>
      <w:szCs w:val="20"/>
      <w:lang w:val="en-US" w:eastAsia="de-DE"/>
      <w14:ligatures w14:val="none"/>
    </w:rPr>
  </w:style>
  <w:style w:type="paragraph" w:customStyle="1" w:styleId="Default">
    <w:name w:val="Default"/>
    <w:rsid w:val="00EC762D"/>
    <w:pPr>
      <w:autoSpaceDE w:val="0"/>
      <w:autoSpaceDN w:val="0"/>
      <w:adjustRightInd w:val="0"/>
    </w:pPr>
    <w:rPr>
      <w:rFonts w:ascii="Arial" w:hAnsi="Arial" w:cs="Arial"/>
      <w:color w:val="000000"/>
      <w:kern w:val="0"/>
    </w:rPr>
  </w:style>
  <w:style w:type="character" w:styleId="Hyperlink">
    <w:name w:val="Hyperlink"/>
    <w:basedOn w:val="Absatz-Standardschriftart"/>
    <w:uiPriority w:val="99"/>
    <w:semiHidden/>
    <w:unhideWhenUsed/>
    <w:rsid w:val="00326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nig-bauer.com/fileadmin/user_upload/04_Unternehmen/Investor_Relations/Berichte/Berichte_2023/Zwischenbericht_1H_2023_DE_Web.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oenig-bauer.com/fileadmin/user_upload/News/Unternehmen_Investor_Relations/2023/23-053-W-Q2/Zahlen_auf_einen_Blick_H1___Q2_2023.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na.landenberger@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10612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Takakura</dc:creator>
  <cp:keywords/>
  <dc:description/>
  <cp:lastModifiedBy>Landenberger, Lena (ZFI)</cp:lastModifiedBy>
  <cp:revision>4</cp:revision>
  <cp:lastPrinted>2023-11-07T14:35:00Z</cp:lastPrinted>
  <dcterms:created xsi:type="dcterms:W3CDTF">2023-11-07T16:56:00Z</dcterms:created>
  <dcterms:modified xsi:type="dcterms:W3CDTF">2023-11-07T17:37:00Z</dcterms:modified>
</cp:coreProperties>
</file>