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C3" w:rsidRDefault="00F11CAB">
      <w:pPr>
        <w:pStyle w:val="Titel"/>
        <w:keepNext w:val="0"/>
        <w:keepLines w:val="0"/>
        <w:tabs>
          <w:tab w:val="left" w:pos="850"/>
        </w:tabs>
        <w:spacing w:before="840" w:after="600" w:line="240" w:lineRule="auto"/>
        <w:rPr>
          <w:b/>
          <w:color w:val="002355"/>
          <w:sz w:val="60"/>
          <w:szCs w:val="60"/>
        </w:rPr>
      </w:pPr>
      <w:r>
        <w:rPr>
          <w:b/>
          <w:color w:val="002355"/>
          <w:sz w:val="60"/>
          <w:szCs w:val="60"/>
        </w:rPr>
        <w:t xml:space="preserve">Presseinformation </w:t>
      </w:r>
    </w:p>
    <w:p w:rsidR="001B54C3" w:rsidRDefault="00F11CAB">
      <w:pPr>
        <w:pStyle w:val="berschrift1"/>
        <w:tabs>
          <w:tab w:val="left" w:pos="850"/>
        </w:tabs>
        <w:spacing w:before="480" w:after="240" w:line="240" w:lineRule="auto"/>
        <w:rPr>
          <w:color w:val="002355"/>
          <w:sz w:val="28"/>
          <w:szCs w:val="28"/>
        </w:rPr>
      </w:pPr>
      <w:bookmarkStart w:id="0" w:name="_37q07cp91crq" w:colFirst="0" w:colLast="0"/>
      <w:bookmarkEnd w:id="0"/>
      <w:r>
        <w:rPr>
          <w:b/>
          <w:color w:val="002355"/>
        </w:rPr>
        <w:t xml:space="preserve">Koenig &amp; Bauer mit deutlicher Ergebnisverbesserung im zweiten Quartal bestätigt </w:t>
      </w:r>
      <w:proofErr w:type="spellStart"/>
      <w:r>
        <w:rPr>
          <w:b/>
          <w:color w:val="002355"/>
        </w:rPr>
        <w:t>Guidance</w:t>
      </w:r>
      <w:proofErr w:type="spellEnd"/>
      <w:r>
        <w:rPr>
          <w:b/>
          <w:color w:val="002355"/>
        </w:rPr>
        <w:t xml:space="preserve"> – Prüfung der künftigen Ausrichtung der </w:t>
      </w:r>
      <w:proofErr w:type="spellStart"/>
      <w:r>
        <w:rPr>
          <w:b/>
          <w:color w:val="002355"/>
        </w:rPr>
        <w:t>Coding</w:t>
      </w:r>
      <w:proofErr w:type="spellEnd"/>
      <w:r>
        <w:rPr>
          <w:b/>
          <w:color w:val="002355"/>
        </w:rPr>
        <w:t xml:space="preserve"> GmbH eingeleitet</w:t>
      </w:r>
    </w:p>
    <w:p w:rsidR="001B54C3" w:rsidRDefault="001B54C3">
      <w:pPr>
        <w:spacing w:after="240"/>
        <w:rPr>
          <w:sz w:val="20"/>
          <w:szCs w:val="20"/>
        </w:rPr>
      </w:pP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Starke vorläufige Q2-Zahlen und strategische Fokussierung auf Kerngeschäftsfelder mit Prüfung der zukünftigen Ausrichtung der Koenig &amp; Bauer </w:t>
      </w:r>
      <w:proofErr w:type="spellStart"/>
      <w:r w:rsidRPr="00944AAE">
        <w:rPr>
          <w:b/>
          <w:sz w:val="20"/>
          <w:szCs w:val="20"/>
        </w:rPr>
        <w:t>Coding</w:t>
      </w:r>
      <w:proofErr w:type="spellEnd"/>
      <w:r w:rsidRPr="00944AAE">
        <w:rPr>
          <w:b/>
          <w:sz w:val="20"/>
          <w:szCs w:val="20"/>
        </w:rPr>
        <w:t xml:space="preserve"> GmbH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Trotz herausforderndem Marktumfeld – Umsatzplus von +7,0 % auf 298,2 Mio. € und Rekordauftragsbestand von 1.096,3 Mio. € (+7,4 % YOY) nach vorläufigen Zahlen erzielt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Vorläufiges operatives EBIT um 22,7 Mio. € auf 1,8 Mio. € deutlich verbessert – Jahresprognose 2025 bestätigt: Leichtes Umsatzwachstum auf 1,3 Mrd. € und operatives EBIT von 35 – 50 Mio. €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Konzernfokussierung schreitet mit der strategischen Überprüfung aller Optionen für die </w:t>
      </w:r>
      <w:proofErr w:type="spellStart"/>
      <w:r w:rsidRPr="00944AAE">
        <w:rPr>
          <w:b/>
          <w:sz w:val="20"/>
          <w:szCs w:val="20"/>
        </w:rPr>
        <w:t>Coding</w:t>
      </w:r>
      <w:proofErr w:type="spellEnd"/>
      <w:r w:rsidRPr="00944AAE">
        <w:rPr>
          <w:b/>
          <w:sz w:val="20"/>
          <w:szCs w:val="20"/>
        </w:rPr>
        <w:t xml:space="preserve"> GmbH voran – von einer Weiterentwicklung einschließlich eines Joint Ventures oder einer Partnerschaft bis zu einem möglichen Verkauf  </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Hintergrund dieser Überprüfung sind die begrenzten Überschneidungen und Synergien mit den Kerngeschäftsfeldern des Konzerns</w:t>
      </w:r>
    </w:p>
    <w:p w:rsidR="001B54C3" w:rsidRPr="00944AAE" w:rsidRDefault="00F11CAB">
      <w:pPr>
        <w:numPr>
          <w:ilvl w:val="0"/>
          <w:numId w:val="1"/>
        </w:numPr>
        <w:pBdr>
          <w:top w:val="nil"/>
          <w:left w:val="nil"/>
          <w:bottom w:val="nil"/>
          <w:right w:val="nil"/>
          <w:between w:val="nil"/>
        </w:pBdr>
        <w:rPr>
          <w:rFonts w:ascii="Times New Roman" w:eastAsia="Times New Roman" w:hAnsi="Times New Roman" w:cs="Times New Roman"/>
          <w:b/>
          <w:sz w:val="20"/>
          <w:szCs w:val="20"/>
        </w:rPr>
      </w:pPr>
      <w:r w:rsidRPr="00944AAE">
        <w:rPr>
          <w:b/>
          <w:sz w:val="20"/>
          <w:szCs w:val="20"/>
        </w:rPr>
        <w:t xml:space="preserve">Koenig &amp; Bauer </w:t>
      </w:r>
      <w:proofErr w:type="spellStart"/>
      <w:r w:rsidRPr="00944AAE">
        <w:rPr>
          <w:b/>
          <w:sz w:val="20"/>
          <w:szCs w:val="20"/>
        </w:rPr>
        <w:t>Coding</w:t>
      </w:r>
      <w:proofErr w:type="spellEnd"/>
      <w:r w:rsidRPr="00944AAE">
        <w:rPr>
          <w:b/>
          <w:sz w:val="20"/>
          <w:szCs w:val="20"/>
        </w:rPr>
        <w:t xml:space="preserve"> GmbH: Starke Marktposition im Wachstumsmarkt für industrielle Kennzeichnungstechnologien</w:t>
      </w:r>
    </w:p>
    <w:p w:rsidR="001B54C3" w:rsidRDefault="001B54C3">
      <w:pPr>
        <w:pStyle w:val="berschrift3"/>
        <w:spacing w:before="0" w:after="0"/>
        <w:rPr>
          <w:b/>
          <w:color w:val="002355"/>
          <w:sz w:val="40"/>
          <w:szCs w:val="40"/>
        </w:rPr>
      </w:pPr>
      <w:bookmarkStart w:id="1" w:name="_3znysh7" w:colFirst="0" w:colLast="0"/>
      <w:bookmarkEnd w:id="1"/>
    </w:p>
    <w:p w:rsidR="001B54C3" w:rsidRDefault="00F11CAB">
      <w:pPr>
        <w:spacing w:after="240"/>
        <w:rPr>
          <w:color w:val="0A0F0A"/>
          <w:sz w:val="20"/>
          <w:szCs w:val="20"/>
          <w:highlight w:val="white"/>
        </w:rPr>
      </w:pPr>
      <w:r>
        <w:rPr>
          <w:sz w:val="20"/>
          <w:szCs w:val="20"/>
        </w:rPr>
        <w:t>Würzburg, 29.07.2025</w:t>
      </w:r>
      <w:r>
        <w:rPr>
          <w:sz w:val="20"/>
          <w:szCs w:val="20"/>
        </w:rPr>
        <w:br/>
        <w:t xml:space="preserve">Koenig &amp; Bauer, ein weltweit führender Technologieanbieter von Spezialdruckanwendungen mit besonderem Fokus auf den Verpackungsbereich, </w:t>
      </w:r>
      <w:r>
        <w:rPr>
          <w:color w:val="0A0F0A"/>
          <w:sz w:val="20"/>
          <w:szCs w:val="20"/>
          <w:highlight w:val="white"/>
        </w:rPr>
        <w:t xml:space="preserve">hat auf Basis vorläufiger Zahlen ein starkes zweites Quartal 2025 abgeschlossen. Gleichzeitig setzt das Unternehmen seine Strategie der Fokussierung zur Stärkung der Profitabilität konsequent fort. In diesem Zuge wird die künftige Ausrichtung der Koenig &amp; Bauer </w:t>
      </w:r>
      <w:proofErr w:type="spellStart"/>
      <w:r>
        <w:rPr>
          <w:color w:val="0A0F0A"/>
          <w:sz w:val="20"/>
          <w:szCs w:val="20"/>
          <w:highlight w:val="white"/>
        </w:rPr>
        <w:t>Coding</w:t>
      </w:r>
      <w:proofErr w:type="spellEnd"/>
      <w:r>
        <w:rPr>
          <w:color w:val="0A0F0A"/>
          <w:sz w:val="20"/>
          <w:szCs w:val="20"/>
          <w:highlight w:val="white"/>
        </w:rPr>
        <w:t xml:space="preserve"> GmbH überprüft, um den Fokus auf die Kerngeschäftsfelder im Druckmaschinenbau und damit verbundene Dienstleistungen weiter zu schärfen.</w:t>
      </w:r>
    </w:p>
    <w:p w:rsidR="001B54C3" w:rsidRDefault="00F11CAB">
      <w:pPr>
        <w:spacing w:after="240"/>
        <w:rPr>
          <w:sz w:val="20"/>
          <w:szCs w:val="20"/>
        </w:rPr>
      </w:pPr>
      <w:r>
        <w:rPr>
          <w:sz w:val="20"/>
          <w:szCs w:val="20"/>
        </w:rPr>
        <w:t xml:space="preserve">Dr. Stephen Kimmich, Vorstandsvorsitzender der Koenig &amp; Bauer AG, ergänzt: „Trotz eines weiterhin herausfordernden Marktumfelds bestätigen die vorläufigen starken Q2-Zahlen die Wirksamkeit </w:t>
      </w:r>
      <w:proofErr w:type="gramStart"/>
      <w:r>
        <w:rPr>
          <w:sz w:val="20"/>
          <w:szCs w:val="20"/>
        </w:rPr>
        <w:t xml:space="preserve">unserer </w:t>
      </w:r>
      <w:r>
        <w:rPr>
          <w:color w:val="0A0F0A"/>
          <w:sz w:val="20"/>
          <w:szCs w:val="20"/>
          <w:highlight w:val="white"/>
        </w:rPr>
        <w:t>„</w:t>
      </w:r>
      <w:r>
        <w:rPr>
          <w:sz w:val="20"/>
          <w:szCs w:val="20"/>
        </w:rPr>
        <w:t>Spotlight</w:t>
      </w:r>
      <w:proofErr w:type="gramEnd"/>
      <w:r>
        <w:rPr>
          <w:sz w:val="20"/>
          <w:szCs w:val="20"/>
        </w:rPr>
        <w:t xml:space="preserve">”-Maßnahmen zur nachhaltigen Stärkung unserer Profitabilität und optimalen Aufstellung des Konzerns für die Zukunft. Die Prüfung aller Optionen für die </w:t>
      </w:r>
      <w:proofErr w:type="spellStart"/>
      <w:r>
        <w:rPr>
          <w:sz w:val="20"/>
          <w:szCs w:val="20"/>
        </w:rPr>
        <w:t>Coding</w:t>
      </w:r>
      <w:proofErr w:type="spellEnd"/>
      <w:r>
        <w:rPr>
          <w:sz w:val="20"/>
          <w:szCs w:val="20"/>
        </w:rPr>
        <w:t>, um das Potenzial dieser Einheit bestmöglich zu entfalten, ist ein logischer und notwendiger Schritt unserer Konzernfokussierung, da die Gesellschaft nur begrenzte Synergien mit unserem Kerngeschäft aufweist."</w:t>
      </w:r>
    </w:p>
    <w:p w:rsidR="00944AAE" w:rsidRDefault="00F11CAB">
      <w:pPr>
        <w:spacing w:after="240"/>
        <w:rPr>
          <w:color w:val="0A0F0A"/>
          <w:sz w:val="20"/>
          <w:szCs w:val="20"/>
        </w:rPr>
      </w:pPr>
      <w:r>
        <w:rPr>
          <w:b/>
          <w:color w:val="002355"/>
          <w:sz w:val="20"/>
          <w:szCs w:val="20"/>
        </w:rPr>
        <w:t xml:space="preserve">Trotz herausfordernden Marktumfeld – Umsatzplus von 7,0 % und historisch höchster Auftragsbestand in der jüngsten Unternehmensgeschichte nach vorläufigen Zahlen erzielt </w:t>
      </w:r>
      <w:r>
        <w:rPr>
          <w:sz w:val="20"/>
          <w:szCs w:val="20"/>
        </w:rPr>
        <w:br/>
      </w:r>
      <w:r>
        <w:rPr>
          <w:color w:val="0A0F0A"/>
          <w:sz w:val="20"/>
          <w:szCs w:val="20"/>
          <w:highlight w:val="white"/>
        </w:rPr>
        <w:t xml:space="preserve">Im zweiten Quartal wurde auf Basis vorläufiger Zahlen ein Umsatzanstieg um 7,0 % auf 298,2 Mio. € </w:t>
      </w:r>
      <w:r>
        <w:rPr>
          <w:color w:val="0A0F0A"/>
          <w:sz w:val="20"/>
          <w:szCs w:val="20"/>
          <w:highlight w:val="white"/>
        </w:rPr>
        <w:lastRenderedPageBreak/>
        <w:t>erzielt. Der vorläufige Auftragseingang belief sich auf 361,7 Mio. € (Vj.: 398,6 Mio. €). Dies ist im Kontext einer Nachfragezurückhaltung infolge von US-Zoll-Unsicherheiten und der hohen Auftragslage rund um die drupa im starken Vorjahresquartal eine solide Entwicklung. Dennoch konnte der Auftragsbestand basierend auf vorläufigen Zahlen auf 1.096,3 Mio. € (+7,4%) gesteigert werden und markiert damit den höchsten Wert in der jüngsten Unternehmensgeschichte.</w:t>
      </w:r>
    </w:p>
    <w:p w:rsidR="001B54C3" w:rsidRPr="00944AAE" w:rsidRDefault="00F11CAB">
      <w:pPr>
        <w:spacing w:after="240"/>
        <w:rPr>
          <w:color w:val="0A0F0A"/>
          <w:sz w:val="20"/>
          <w:szCs w:val="20"/>
          <w:highlight w:val="white"/>
        </w:rPr>
      </w:pPr>
      <w:r>
        <w:rPr>
          <w:b/>
          <w:color w:val="002355"/>
          <w:sz w:val="20"/>
          <w:szCs w:val="20"/>
        </w:rPr>
        <w:t>Vorläufiges operatives EBIT um 22,7 Mio. € deutlich verbessert – Jahresprognose 2025 bestätigt</w:t>
      </w:r>
      <w:r>
        <w:rPr>
          <w:b/>
          <w:color w:val="002355"/>
          <w:sz w:val="20"/>
          <w:szCs w:val="20"/>
        </w:rPr>
        <w:br/>
      </w:r>
      <w:r>
        <w:rPr>
          <w:color w:val="0A0F0A"/>
          <w:sz w:val="20"/>
          <w:szCs w:val="20"/>
          <w:highlight w:val="white"/>
        </w:rPr>
        <w:t>Das vorläufige EBIT erhöhte sich im Vorjahresquartalsvergleich um 24,1 Mio. € auf 0,4 Mio. €, und das vorläufige operative EBIT stieg um 22,7 Mio. € auf 1,8 Mio. €. Die starke Performance bestätigt die Prognose für das Gesamtjahr 2025: Der Konzern erwartet weiterhin ein leichtes Umsatzwachstum auf 1,3 Mrd. € bei einer Steigerung des operativen EBIT in einem Korridor zwischen 35 – 50 Mio. €. Die Zielerreichung innerhalb dieses Korridors hängt maßgeblich von den tatsächlichen weltwirtschaftlichen und geopolitischen Entwicklungen in den kommenden Monaten ab.</w:t>
      </w:r>
      <w:r>
        <w:rPr>
          <w:sz w:val="20"/>
          <w:szCs w:val="20"/>
        </w:rPr>
        <w:br/>
      </w:r>
      <w:r>
        <w:rPr>
          <w:sz w:val="20"/>
          <w:szCs w:val="20"/>
        </w:rPr>
        <w:br/>
        <w:t xml:space="preserve">"Die vorläufigen Q2-Zahlen belegen eine positive Entwicklung unserer Finanzlage, die wir durch das konsequente Management im Rahmen von </w:t>
      </w:r>
      <w:r>
        <w:rPr>
          <w:color w:val="0A0F0A"/>
          <w:sz w:val="20"/>
          <w:szCs w:val="20"/>
          <w:highlight w:val="white"/>
        </w:rPr>
        <w:t>„</w:t>
      </w:r>
      <w:r>
        <w:rPr>
          <w:sz w:val="20"/>
          <w:szCs w:val="20"/>
        </w:rPr>
        <w:t xml:space="preserve">Spotlight” weiter stärken", kommentiert Dr. Alexander Blum, Finanzvorstand der Koenig &amp; Bauer AG und ergänzt: "Unser Fokus liegt darauf, die Effizienz und Profitabilität des Konzerns durch eine klare Fokussierung der Wertschöpfung zu optimieren und damit eine </w:t>
      </w:r>
      <w:proofErr w:type="spellStart"/>
      <w:r>
        <w:rPr>
          <w:sz w:val="20"/>
          <w:szCs w:val="20"/>
        </w:rPr>
        <w:t>resiliente</w:t>
      </w:r>
      <w:proofErr w:type="spellEnd"/>
      <w:r>
        <w:rPr>
          <w:sz w:val="20"/>
          <w:szCs w:val="20"/>
        </w:rPr>
        <w:t xml:space="preserve"> Basis für nachhaltiges Wachstum und die Erreichung unserer Ziele zu legen."</w:t>
      </w:r>
    </w:p>
    <w:p w:rsidR="001B54C3" w:rsidRDefault="00F11CAB">
      <w:pPr>
        <w:pBdr>
          <w:top w:val="nil"/>
          <w:left w:val="nil"/>
          <w:bottom w:val="nil"/>
          <w:right w:val="nil"/>
          <w:between w:val="nil"/>
        </w:pBdr>
        <w:spacing w:after="240"/>
        <w:rPr>
          <w:sz w:val="20"/>
          <w:szCs w:val="20"/>
        </w:rPr>
      </w:pPr>
      <w:r>
        <w:rPr>
          <w:b/>
          <w:color w:val="002355"/>
          <w:sz w:val="20"/>
          <w:szCs w:val="20"/>
        </w:rPr>
        <w:t xml:space="preserve">Konzernfokussierung schreitet mit der Überprüfung aller Optionen für die </w:t>
      </w:r>
      <w:proofErr w:type="spellStart"/>
      <w:r>
        <w:rPr>
          <w:b/>
          <w:color w:val="002355"/>
          <w:sz w:val="20"/>
          <w:szCs w:val="20"/>
        </w:rPr>
        <w:t>Coding</w:t>
      </w:r>
      <w:proofErr w:type="spellEnd"/>
      <w:r>
        <w:rPr>
          <w:b/>
          <w:color w:val="002355"/>
          <w:sz w:val="20"/>
          <w:szCs w:val="20"/>
        </w:rPr>
        <w:t xml:space="preserve"> GmbH – von einer  Weiterentwicklung, einschließlich eines Joint Ventures oder einer Partnerschaft sowie eines möglichen Verkaufs –  voran</w:t>
      </w:r>
      <w:r>
        <w:rPr>
          <w:b/>
          <w:color w:val="002355"/>
          <w:sz w:val="20"/>
          <w:szCs w:val="20"/>
        </w:rPr>
        <w:br/>
      </w:r>
      <w:r>
        <w:rPr>
          <w:color w:val="0A0F0A"/>
          <w:sz w:val="20"/>
          <w:szCs w:val="20"/>
          <w:highlight w:val="white"/>
        </w:rPr>
        <w:t xml:space="preserve">Die Ergebnisverbesserung belegt die positive Wirkung des nahezu umgesetzten Fokusprogramms „Spotlight“, das zur Neuausrichtung des Konzerns und zur Stärkung der Profitabilität beiträgt. Im Rahmen dieses Programms wurde das konzernweite Projektportfolio bereits reduziert. Beispielsweise wurde die </w:t>
      </w:r>
      <w:proofErr w:type="spellStart"/>
      <w:r>
        <w:rPr>
          <w:color w:val="0A0F0A"/>
          <w:sz w:val="20"/>
          <w:szCs w:val="20"/>
          <w:highlight w:val="white"/>
        </w:rPr>
        <w:t>CSMetalCan</w:t>
      </w:r>
      <w:proofErr w:type="spellEnd"/>
      <w:r>
        <w:rPr>
          <w:color w:val="0A0F0A"/>
          <w:sz w:val="20"/>
          <w:szCs w:val="20"/>
          <w:highlight w:val="white"/>
        </w:rPr>
        <w:t xml:space="preserve"> für den 2-teiligen Getränkedosendruck eingestellt und die Komplexität im </w:t>
      </w:r>
      <w:proofErr w:type="spellStart"/>
      <w:r>
        <w:rPr>
          <w:color w:val="0A0F0A"/>
          <w:sz w:val="20"/>
          <w:szCs w:val="20"/>
          <w:highlight w:val="white"/>
        </w:rPr>
        <w:t>Flexobereich</w:t>
      </w:r>
      <w:proofErr w:type="spellEnd"/>
      <w:r>
        <w:rPr>
          <w:color w:val="0A0F0A"/>
          <w:sz w:val="20"/>
          <w:szCs w:val="20"/>
          <w:highlight w:val="white"/>
        </w:rPr>
        <w:t xml:space="preserve"> durch den Wegfall bestimmter Maschinenvarianten reduziert. </w:t>
      </w:r>
      <w:r>
        <w:rPr>
          <w:color w:val="0A0F0A"/>
          <w:sz w:val="20"/>
          <w:szCs w:val="20"/>
          <w:highlight w:val="white"/>
        </w:rPr>
        <w:br/>
        <w:t xml:space="preserve">Als konsequenten nächsten Schritt der Fokussierung auf die Kerngeschäftsfelder wird daher aktuell auch die künftige Ausrichtung der Koenig &amp; Bauer </w:t>
      </w:r>
      <w:proofErr w:type="spellStart"/>
      <w:r>
        <w:rPr>
          <w:color w:val="0A0F0A"/>
          <w:sz w:val="20"/>
          <w:szCs w:val="20"/>
          <w:highlight w:val="white"/>
        </w:rPr>
        <w:t>Coding</w:t>
      </w:r>
      <w:proofErr w:type="spellEnd"/>
      <w:r>
        <w:rPr>
          <w:color w:val="0A0F0A"/>
          <w:sz w:val="20"/>
          <w:szCs w:val="20"/>
          <w:highlight w:val="white"/>
        </w:rPr>
        <w:t xml:space="preserve"> GmbH geprüft. Hintergrund ist die nur geringe Überschneidung mit den anderen Kerngeschäftsfeldern des Konzerns, die sich auf industrielle Druckanwendungen, wie beispielsweise den Verpackungs- oder Wertpapierdruck, konzentrieren. Dagegen bedient die Koenig &amp; Bauer </w:t>
      </w:r>
      <w:proofErr w:type="spellStart"/>
      <w:r>
        <w:rPr>
          <w:color w:val="0A0F0A"/>
          <w:sz w:val="20"/>
          <w:szCs w:val="20"/>
          <w:highlight w:val="white"/>
        </w:rPr>
        <w:t>Coding</w:t>
      </w:r>
      <w:proofErr w:type="spellEnd"/>
      <w:r>
        <w:rPr>
          <w:color w:val="0A0F0A"/>
          <w:sz w:val="20"/>
          <w:szCs w:val="20"/>
          <w:highlight w:val="white"/>
        </w:rPr>
        <w:t xml:space="preserve"> GmbH als weitgehend autarke Einheit einen nachgelagerten Markt. Ihre Kennzeichnungssysteme kommen typischerweise bei den Abfüllern und Verpackern selbst zum Einsatz. Aufgrund dieser unterschiedlichen Marktausrichtung und der begrenzten Synergien im Konzernverbund umfasst die Prüfung alle Möglichkeiten zur Weiterentwicklung der </w:t>
      </w:r>
      <w:proofErr w:type="spellStart"/>
      <w:r>
        <w:rPr>
          <w:color w:val="0A0F0A"/>
          <w:sz w:val="20"/>
          <w:szCs w:val="20"/>
          <w:highlight w:val="white"/>
        </w:rPr>
        <w:t>Coding</w:t>
      </w:r>
      <w:proofErr w:type="spellEnd"/>
      <w:r>
        <w:rPr>
          <w:color w:val="0A0F0A"/>
          <w:sz w:val="20"/>
          <w:szCs w:val="20"/>
          <w:highlight w:val="white"/>
        </w:rPr>
        <w:t>, einschließlich eines Joint Ventures, einer Partnerschaft oder eines möglichen Verkaufs.</w:t>
      </w:r>
    </w:p>
    <w:p w:rsidR="001B54C3" w:rsidRDefault="00F11CAB">
      <w:pPr>
        <w:pBdr>
          <w:top w:val="nil"/>
          <w:left w:val="nil"/>
          <w:bottom w:val="nil"/>
          <w:right w:val="nil"/>
          <w:between w:val="nil"/>
        </w:pBdr>
        <w:spacing w:after="240"/>
        <w:rPr>
          <w:sz w:val="20"/>
          <w:szCs w:val="20"/>
        </w:rPr>
      </w:pPr>
      <w:r>
        <w:rPr>
          <w:b/>
          <w:color w:val="002355"/>
          <w:sz w:val="20"/>
          <w:szCs w:val="20"/>
        </w:rPr>
        <w:t xml:space="preserve">Koenig &amp; Bauer </w:t>
      </w:r>
      <w:proofErr w:type="spellStart"/>
      <w:r>
        <w:rPr>
          <w:b/>
          <w:color w:val="002355"/>
          <w:sz w:val="20"/>
          <w:szCs w:val="20"/>
        </w:rPr>
        <w:t>Coding</w:t>
      </w:r>
      <w:proofErr w:type="spellEnd"/>
      <w:r>
        <w:rPr>
          <w:b/>
          <w:color w:val="002355"/>
          <w:sz w:val="20"/>
          <w:szCs w:val="20"/>
        </w:rPr>
        <w:t xml:space="preserve"> GmbH: Starke Marktposition im Wachstumsmarkt für industrielle Kennzeichnungstechnologien</w:t>
      </w:r>
      <w:r>
        <w:rPr>
          <w:b/>
          <w:color w:val="002355"/>
          <w:sz w:val="20"/>
          <w:szCs w:val="20"/>
        </w:rPr>
        <w:br/>
      </w:r>
      <w:r>
        <w:rPr>
          <w:sz w:val="20"/>
          <w:szCs w:val="20"/>
        </w:rPr>
        <w:t xml:space="preserve">Die Koenig &amp; Bauer </w:t>
      </w:r>
      <w:proofErr w:type="spellStart"/>
      <w:r>
        <w:rPr>
          <w:sz w:val="20"/>
          <w:szCs w:val="20"/>
        </w:rPr>
        <w:t>Coding</w:t>
      </w:r>
      <w:proofErr w:type="spellEnd"/>
      <w:r>
        <w:rPr>
          <w:sz w:val="20"/>
          <w:szCs w:val="20"/>
        </w:rPr>
        <w:t xml:space="preserve"> GmbH in </w:t>
      </w:r>
      <w:proofErr w:type="spellStart"/>
      <w:r>
        <w:rPr>
          <w:sz w:val="20"/>
          <w:szCs w:val="20"/>
        </w:rPr>
        <w:t>Veitshöchheim</w:t>
      </w:r>
      <w:proofErr w:type="spellEnd"/>
      <w:r>
        <w:rPr>
          <w:sz w:val="20"/>
          <w:szCs w:val="20"/>
        </w:rPr>
        <w:t xml:space="preserve">, Deutschland, ist mit rund 300 Mitarbeitern und über 50 Jahren Erfahrung einer der führenden Anbieter im Wachstumsmarkt für industrielle Kennzeichnungstechnologien. Das Unternehmen verfügt über ein robustes Finanzprofil und ist mit seinem Produktportfolio, das unter anderem </w:t>
      </w:r>
      <w:proofErr w:type="spellStart"/>
      <w:r>
        <w:rPr>
          <w:sz w:val="20"/>
          <w:szCs w:val="20"/>
        </w:rPr>
        <w:t>Inkjet</w:t>
      </w:r>
      <w:proofErr w:type="spellEnd"/>
      <w:r>
        <w:rPr>
          <w:sz w:val="20"/>
          <w:szCs w:val="20"/>
        </w:rPr>
        <w:t xml:space="preserve">- und Lasersysteme umfasst, hervorragend am Markt etabliert. Zu den Kunden zählen große internationale Konzerne aus den Bereichen Lebensmittel &amp; Getränke, Konsumgüter, </w:t>
      </w:r>
      <w:proofErr w:type="spellStart"/>
      <w:r>
        <w:rPr>
          <w:sz w:val="20"/>
          <w:szCs w:val="20"/>
        </w:rPr>
        <w:t>Pharma</w:t>
      </w:r>
      <w:proofErr w:type="spellEnd"/>
      <w:r>
        <w:rPr>
          <w:sz w:val="20"/>
          <w:szCs w:val="20"/>
        </w:rPr>
        <w:t xml:space="preserve"> &amp; Kosmetik sowie Automotive. Die Koenig &amp; Bauer </w:t>
      </w:r>
      <w:proofErr w:type="spellStart"/>
      <w:r>
        <w:rPr>
          <w:sz w:val="20"/>
          <w:szCs w:val="20"/>
        </w:rPr>
        <w:t>Coding</w:t>
      </w:r>
      <w:proofErr w:type="spellEnd"/>
      <w:r>
        <w:rPr>
          <w:sz w:val="20"/>
          <w:szCs w:val="20"/>
        </w:rPr>
        <w:t xml:space="preserve"> GmbH erwirtschaftet aktuell einen stabilen Umsatz von rund 5 % des Koenig &amp; Bauer-Konzerns mit guten zukünftigen Wachstumsaussichten.</w:t>
      </w:r>
      <w:r>
        <w:rPr>
          <w:sz w:val="20"/>
          <w:szCs w:val="20"/>
        </w:rPr>
        <w:br/>
      </w:r>
      <w:r>
        <w:rPr>
          <w:sz w:val="20"/>
          <w:szCs w:val="20"/>
        </w:rPr>
        <w:br/>
        <w:t xml:space="preserve">Dr. Stephen Kimmich ergänzt: „Unser Kennzeichnungsbereich ist ein solider und gut geführter </w:t>
      </w:r>
      <w:r>
        <w:rPr>
          <w:sz w:val="20"/>
          <w:szCs w:val="20"/>
        </w:rPr>
        <w:lastRenderedPageBreak/>
        <w:t xml:space="preserve">Unternehmensbereich mit engagierten </w:t>
      </w:r>
      <w:proofErr w:type="spellStart"/>
      <w:r>
        <w:rPr>
          <w:sz w:val="20"/>
          <w:szCs w:val="20"/>
        </w:rPr>
        <w:t>Mitarbeiter:innen</w:t>
      </w:r>
      <w:proofErr w:type="spellEnd"/>
      <w:r>
        <w:rPr>
          <w:sz w:val="20"/>
          <w:szCs w:val="20"/>
        </w:rPr>
        <w:t xml:space="preserve"> und einem guten Marktpotenzial, welches wir im Rahmen einer gezielten Weiterentwicklung heben möchten.“</w:t>
      </w:r>
    </w:p>
    <w:p w:rsidR="001B54C3" w:rsidRDefault="00F11CAB">
      <w:pPr>
        <w:tabs>
          <w:tab w:val="left" w:pos="850"/>
        </w:tabs>
        <w:spacing w:before="240" w:after="240"/>
        <w:jc w:val="both"/>
        <w:rPr>
          <w:color w:val="0A0F0A"/>
          <w:sz w:val="24"/>
          <w:szCs w:val="24"/>
          <w:highlight w:val="white"/>
        </w:rPr>
      </w:pPr>
      <w:r>
        <w:rPr>
          <w:color w:val="0A0F0A"/>
          <w:sz w:val="20"/>
          <w:szCs w:val="20"/>
          <w:highlight w:val="white"/>
        </w:rPr>
        <w:t>Die vorläufigen Zahlen für das zweite Quartal 2025 sind wie folgt:</w:t>
      </w:r>
    </w:p>
    <w:tbl>
      <w:tblPr>
        <w:tblStyle w:val="a"/>
        <w:tblW w:w="95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770"/>
        <w:gridCol w:w="1860"/>
        <w:gridCol w:w="1860"/>
        <w:gridCol w:w="2130"/>
      </w:tblGrid>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in Mio. € Q2 2025 (Vj.)</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P&amp;P</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S&amp;T</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 xml:space="preserve">Überleitung </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Konzern</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Auftragseingang</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177,6 </w:t>
            </w:r>
            <w:r>
              <w:rPr>
                <w:i/>
                <w:color w:val="0A0F0A"/>
                <w:sz w:val="20"/>
                <w:szCs w:val="20"/>
                <w:highlight w:val="white"/>
              </w:rPr>
              <w:t xml:space="preserve">(179,1) </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187,8 </w:t>
            </w:r>
            <w:r>
              <w:rPr>
                <w:i/>
                <w:color w:val="0A0F0A"/>
                <w:sz w:val="20"/>
                <w:szCs w:val="20"/>
                <w:highlight w:val="white"/>
              </w:rPr>
              <w:t>(225,3)</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-3,7 </w:t>
            </w:r>
            <w:r>
              <w:rPr>
                <w:i/>
                <w:color w:val="0A0F0A"/>
                <w:sz w:val="20"/>
                <w:szCs w:val="20"/>
                <w:highlight w:val="white"/>
              </w:rPr>
              <w:t>(-5,8)</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361,7 </w:t>
            </w:r>
            <w:r>
              <w:rPr>
                <w:i/>
                <w:color w:val="0A0F0A"/>
                <w:sz w:val="20"/>
                <w:szCs w:val="20"/>
                <w:highlight w:val="white"/>
              </w:rPr>
              <w:t>(398,6)</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 xml:space="preserve">Umsatz </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157,3 </w:t>
            </w:r>
            <w:r>
              <w:rPr>
                <w:i/>
                <w:color w:val="0A0F0A"/>
                <w:sz w:val="20"/>
                <w:szCs w:val="20"/>
                <w:highlight w:val="white"/>
              </w:rPr>
              <w:t>(149,4)</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148,6 </w:t>
            </w:r>
            <w:r>
              <w:rPr>
                <w:i/>
                <w:color w:val="0A0F0A"/>
                <w:sz w:val="20"/>
                <w:szCs w:val="20"/>
                <w:highlight w:val="white"/>
              </w:rPr>
              <w:t>(135,2)</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-7,7 </w:t>
            </w:r>
            <w:r>
              <w:rPr>
                <w:i/>
                <w:color w:val="0A0F0A"/>
                <w:sz w:val="20"/>
                <w:szCs w:val="20"/>
                <w:highlight w:val="white"/>
              </w:rPr>
              <w:t>(-5,8)</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298,2 </w:t>
            </w:r>
            <w:r>
              <w:rPr>
                <w:i/>
                <w:color w:val="0A0F0A"/>
                <w:sz w:val="20"/>
                <w:szCs w:val="20"/>
                <w:highlight w:val="white"/>
              </w:rPr>
              <w:t>(278,8)</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EBIT</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(-8,1)</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(-17,2)</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0,4 </w:t>
            </w:r>
            <w:r>
              <w:rPr>
                <w:i/>
                <w:color w:val="0A0F0A"/>
                <w:sz w:val="20"/>
                <w:szCs w:val="20"/>
                <w:highlight w:val="white"/>
              </w:rPr>
              <w:t>(1,6)</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0,4 </w:t>
            </w:r>
            <w:r>
              <w:rPr>
                <w:i/>
                <w:color w:val="0A0F0A"/>
                <w:sz w:val="20"/>
                <w:szCs w:val="20"/>
                <w:highlight w:val="white"/>
              </w:rPr>
              <w:t>(-23,7)</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Operatives EBIT</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(-8,1)</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1,1 </w:t>
            </w:r>
            <w:r>
              <w:rPr>
                <w:i/>
                <w:color w:val="0A0F0A"/>
                <w:sz w:val="20"/>
                <w:szCs w:val="20"/>
                <w:highlight w:val="white"/>
              </w:rPr>
              <w:t>(-14,8)</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0,8 </w:t>
            </w:r>
            <w:r>
              <w:rPr>
                <w:i/>
                <w:color w:val="0A0F0A"/>
                <w:sz w:val="20"/>
                <w:szCs w:val="20"/>
                <w:highlight w:val="white"/>
              </w:rPr>
              <w:t>(2,0)</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1,8 </w:t>
            </w:r>
            <w:r>
              <w:rPr>
                <w:i/>
                <w:color w:val="0A0F0A"/>
                <w:sz w:val="20"/>
                <w:szCs w:val="20"/>
                <w:highlight w:val="white"/>
              </w:rPr>
              <w:t>(-20,9)</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Operatives EBIT bereinigt um drupa</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-0,1 </w:t>
            </w:r>
            <w:r>
              <w:rPr>
                <w:i/>
                <w:color w:val="0A0F0A"/>
                <w:sz w:val="20"/>
                <w:szCs w:val="20"/>
                <w:highlight w:val="white"/>
              </w:rPr>
              <w:t>(-3,7)</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1,1 </w:t>
            </w:r>
            <w:r>
              <w:rPr>
                <w:i/>
                <w:color w:val="0A0F0A"/>
                <w:sz w:val="20"/>
                <w:szCs w:val="20"/>
                <w:highlight w:val="white"/>
              </w:rPr>
              <w:t>(-14,3)</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0,8 </w:t>
            </w:r>
            <w:r>
              <w:rPr>
                <w:i/>
                <w:color w:val="0A0F0A"/>
                <w:sz w:val="20"/>
                <w:szCs w:val="20"/>
                <w:highlight w:val="white"/>
              </w:rPr>
              <w:t>(3,3)</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1,8 </w:t>
            </w:r>
            <w:r>
              <w:rPr>
                <w:i/>
                <w:color w:val="0A0F0A"/>
                <w:sz w:val="20"/>
                <w:szCs w:val="20"/>
                <w:highlight w:val="white"/>
              </w:rPr>
              <w:t>(-14,7)</w:t>
            </w:r>
          </w:p>
        </w:tc>
      </w:tr>
      <w:tr w:rsidR="001B54C3">
        <w:tc>
          <w:tcPr>
            <w:tcW w:w="1950" w:type="dxa"/>
            <w:shd w:val="clear" w:color="auto" w:fill="auto"/>
            <w:tcMar>
              <w:top w:w="100" w:type="dxa"/>
              <w:left w:w="100" w:type="dxa"/>
              <w:bottom w:w="100" w:type="dxa"/>
              <w:right w:w="100" w:type="dxa"/>
            </w:tcMar>
          </w:tcPr>
          <w:p w:rsidR="001B54C3" w:rsidRDefault="00F11CAB">
            <w:pPr>
              <w:widowControl w:val="0"/>
              <w:spacing w:line="240" w:lineRule="auto"/>
              <w:rPr>
                <w:color w:val="0A0F0A"/>
                <w:sz w:val="20"/>
                <w:szCs w:val="20"/>
                <w:highlight w:val="white"/>
              </w:rPr>
            </w:pPr>
            <w:r>
              <w:rPr>
                <w:color w:val="0A0F0A"/>
                <w:sz w:val="20"/>
                <w:szCs w:val="20"/>
                <w:highlight w:val="white"/>
              </w:rPr>
              <w:t>Auftragsbestand</w:t>
            </w:r>
          </w:p>
        </w:tc>
        <w:tc>
          <w:tcPr>
            <w:tcW w:w="177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448,5 </w:t>
            </w:r>
            <w:r>
              <w:rPr>
                <w:i/>
                <w:color w:val="0A0F0A"/>
                <w:sz w:val="20"/>
                <w:szCs w:val="20"/>
                <w:highlight w:val="white"/>
              </w:rPr>
              <w:t>(469,5)</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648,7 </w:t>
            </w:r>
            <w:r>
              <w:rPr>
                <w:i/>
                <w:color w:val="0A0F0A"/>
                <w:sz w:val="20"/>
                <w:szCs w:val="20"/>
                <w:highlight w:val="white"/>
              </w:rPr>
              <w:t>(548,4)</w:t>
            </w:r>
          </w:p>
        </w:tc>
        <w:tc>
          <w:tcPr>
            <w:tcW w:w="186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-0,9 </w:t>
            </w:r>
            <w:r>
              <w:rPr>
                <w:i/>
                <w:color w:val="0A0F0A"/>
                <w:sz w:val="20"/>
                <w:szCs w:val="20"/>
                <w:highlight w:val="white"/>
              </w:rPr>
              <w:t>(3,1)</w:t>
            </w:r>
          </w:p>
        </w:tc>
        <w:tc>
          <w:tcPr>
            <w:tcW w:w="2130" w:type="dxa"/>
            <w:shd w:val="clear" w:color="auto" w:fill="auto"/>
            <w:tcMar>
              <w:top w:w="100" w:type="dxa"/>
              <w:left w:w="100" w:type="dxa"/>
              <w:bottom w:w="100" w:type="dxa"/>
              <w:right w:w="100" w:type="dxa"/>
            </w:tcMar>
          </w:tcPr>
          <w:p w:rsidR="001B54C3" w:rsidRDefault="00F11CAB">
            <w:pPr>
              <w:widowControl w:val="0"/>
              <w:spacing w:line="240" w:lineRule="auto"/>
              <w:rPr>
                <w:i/>
                <w:color w:val="0A0F0A"/>
                <w:sz w:val="20"/>
                <w:szCs w:val="20"/>
                <w:highlight w:val="white"/>
              </w:rPr>
            </w:pPr>
            <w:r>
              <w:rPr>
                <w:color w:val="0A0F0A"/>
                <w:sz w:val="20"/>
                <w:szCs w:val="20"/>
                <w:highlight w:val="white"/>
              </w:rPr>
              <w:t xml:space="preserve">1.096,3 </w:t>
            </w:r>
            <w:r>
              <w:rPr>
                <w:i/>
                <w:color w:val="0A0F0A"/>
                <w:sz w:val="20"/>
                <w:szCs w:val="20"/>
                <w:highlight w:val="white"/>
              </w:rPr>
              <w:t>(1.021,0)</w:t>
            </w:r>
          </w:p>
        </w:tc>
      </w:tr>
    </w:tbl>
    <w:p w:rsidR="001B54C3" w:rsidRDefault="00F11CAB">
      <w:pPr>
        <w:tabs>
          <w:tab w:val="left" w:pos="850"/>
        </w:tabs>
        <w:spacing w:before="240" w:after="240"/>
        <w:jc w:val="both"/>
        <w:rPr>
          <w:sz w:val="20"/>
          <w:szCs w:val="20"/>
        </w:rPr>
      </w:pPr>
      <w:r>
        <w:rPr>
          <w:color w:val="0A0F0A"/>
          <w:sz w:val="20"/>
          <w:szCs w:val="20"/>
          <w:highlight w:val="white"/>
        </w:rPr>
        <w:t>Die vollständigen Geschäftszahlen für das zweite Quartal und das erste Halbjahr 2025 veröffentlicht Koenig &amp; Bauer am 6. August 2025.</w:t>
      </w:r>
    </w:p>
    <w:p w:rsidR="001B54C3" w:rsidRDefault="001B54C3">
      <w:pPr>
        <w:tabs>
          <w:tab w:val="left" w:pos="850"/>
        </w:tabs>
        <w:spacing w:before="240" w:after="240"/>
        <w:jc w:val="both"/>
        <w:rPr>
          <w:color w:val="0A0F0A"/>
          <w:sz w:val="20"/>
          <w:szCs w:val="20"/>
          <w:highlight w:val="white"/>
        </w:rPr>
      </w:pPr>
    </w:p>
    <w:p w:rsidR="001B54C3" w:rsidRDefault="00F11CAB">
      <w:pPr>
        <w:pStyle w:val="berschrift4"/>
        <w:spacing w:before="0" w:after="0"/>
        <w:rPr>
          <w:b/>
          <w:color w:val="000000"/>
          <w:sz w:val="20"/>
          <w:szCs w:val="20"/>
        </w:rPr>
      </w:pPr>
      <w:bookmarkStart w:id="2" w:name="_2et92p0" w:colFirst="0" w:colLast="0"/>
      <w:bookmarkEnd w:id="2"/>
      <w:r>
        <w:rPr>
          <w:b/>
          <w:color w:val="000000"/>
          <w:sz w:val="20"/>
          <w:szCs w:val="20"/>
        </w:rPr>
        <w:t>Foto:</w:t>
      </w:r>
    </w:p>
    <w:p w:rsidR="001B54C3" w:rsidRDefault="00F11CAB">
      <w:pPr>
        <w:spacing w:after="240"/>
        <w:rPr>
          <w:sz w:val="20"/>
          <w:szCs w:val="20"/>
        </w:rPr>
      </w:pPr>
      <w:r>
        <w:rPr>
          <w:sz w:val="20"/>
          <w:szCs w:val="20"/>
        </w:rPr>
        <w:t xml:space="preserve">Koenig &amp; Bauer mit deutlicher Ergebnisverbesserung im zweiten Quartal bestätigt </w:t>
      </w:r>
      <w:proofErr w:type="spellStart"/>
      <w:r>
        <w:rPr>
          <w:sz w:val="20"/>
          <w:szCs w:val="20"/>
        </w:rPr>
        <w:t>Guidance</w:t>
      </w:r>
      <w:proofErr w:type="spellEnd"/>
      <w:r>
        <w:rPr>
          <w:sz w:val="20"/>
          <w:szCs w:val="20"/>
        </w:rPr>
        <w:t xml:space="preserve"> – Prüfung der künftigen Ausrichtung der </w:t>
      </w:r>
      <w:proofErr w:type="spellStart"/>
      <w:r>
        <w:rPr>
          <w:sz w:val="20"/>
          <w:szCs w:val="20"/>
        </w:rPr>
        <w:t>Coding</w:t>
      </w:r>
      <w:proofErr w:type="spellEnd"/>
      <w:r>
        <w:rPr>
          <w:sz w:val="20"/>
          <w:szCs w:val="20"/>
        </w:rPr>
        <w:t xml:space="preserve"> GmbH eingeleitet</w:t>
      </w:r>
      <w:r>
        <w:rPr>
          <w:sz w:val="20"/>
          <w:szCs w:val="20"/>
        </w:rPr>
        <w:br/>
        <w:t>© Koenig &amp; Bauer</w:t>
      </w:r>
    </w:p>
    <w:p w:rsidR="001B54C3" w:rsidRDefault="00F11CAB">
      <w:pPr>
        <w:pStyle w:val="berschrift4"/>
        <w:keepNext w:val="0"/>
        <w:keepLines w:val="0"/>
        <w:shd w:val="clear" w:color="auto" w:fill="FFFFFF"/>
        <w:spacing w:before="240" w:after="40" w:line="250" w:lineRule="auto"/>
        <w:ind w:hanging="2"/>
        <w:rPr>
          <w:b/>
          <w:color w:val="000000"/>
          <w:sz w:val="22"/>
          <w:szCs w:val="22"/>
        </w:rPr>
      </w:pPr>
      <w:bookmarkStart w:id="3" w:name="_c398knssqtt8" w:colFirst="0" w:colLast="0"/>
      <w:bookmarkEnd w:id="3"/>
      <w:r>
        <w:rPr>
          <w:b/>
          <w:color w:val="000000"/>
          <w:sz w:val="22"/>
          <w:szCs w:val="22"/>
        </w:rPr>
        <w:t>Ansprechpartnerin für Investor Relations</w:t>
      </w:r>
    </w:p>
    <w:p w:rsidR="001B54C3" w:rsidRDefault="00F11CAB">
      <w:pPr>
        <w:shd w:val="clear" w:color="auto" w:fill="FFFFFF"/>
        <w:spacing w:before="240" w:after="240" w:line="250" w:lineRule="auto"/>
        <w:rPr>
          <w:color w:val="1155CC"/>
          <w:sz w:val="20"/>
          <w:szCs w:val="20"/>
        </w:rPr>
      </w:pPr>
      <w:r>
        <w:rPr>
          <w:sz w:val="20"/>
          <w:szCs w:val="20"/>
        </w:rPr>
        <w:t>Koenig &amp; Bauer AG</w:t>
      </w:r>
      <w:r>
        <w:rPr>
          <w:sz w:val="20"/>
          <w:szCs w:val="20"/>
        </w:rPr>
        <w:br/>
        <w:t xml:space="preserve">Lena </w:t>
      </w:r>
      <w:proofErr w:type="spellStart"/>
      <w:r>
        <w:rPr>
          <w:sz w:val="20"/>
          <w:szCs w:val="20"/>
        </w:rPr>
        <w:t>Landenberger</w:t>
      </w:r>
      <w:proofErr w:type="spellEnd"/>
      <w:r>
        <w:rPr>
          <w:sz w:val="20"/>
          <w:szCs w:val="20"/>
        </w:rPr>
        <w:br/>
        <w:t>+49 931 909 4085</w:t>
      </w:r>
      <w:r>
        <w:rPr>
          <w:sz w:val="20"/>
          <w:szCs w:val="20"/>
        </w:rPr>
        <w:br/>
      </w:r>
      <w:hyperlink r:id="rId5">
        <w:r>
          <w:rPr>
            <w:color w:val="1155CC"/>
            <w:sz w:val="20"/>
            <w:szCs w:val="20"/>
            <w:u w:val="single"/>
          </w:rPr>
          <w:t>lena.landenberger@koenig-bauer.com</w:t>
        </w:r>
      </w:hyperlink>
    </w:p>
    <w:p w:rsidR="001B54C3" w:rsidRDefault="001B54C3">
      <w:pPr>
        <w:pStyle w:val="berschrift4"/>
        <w:keepNext w:val="0"/>
        <w:keepLines w:val="0"/>
        <w:shd w:val="clear" w:color="auto" w:fill="FFFFFF"/>
        <w:spacing w:before="240" w:after="40" w:line="250" w:lineRule="auto"/>
        <w:ind w:hanging="2"/>
        <w:rPr>
          <w:b/>
          <w:color w:val="000000"/>
          <w:sz w:val="22"/>
          <w:szCs w:val="22"/>
        </w:rPr>
      </w:pPr>
      <w:bookmarkStart w:id="4" w:name="_elpzacbx7s2n" w:colFirst="0" w:colLast="0"/>
      <w:bookmarkEnd w:id="4"/>
    </w:p>
    <w:p w:rsidR="001B54C3" w:rsidRDefault="00F11CAB">
      <w:pPr>
        <w:pStyle w:val="berschrift4"/>
        <w:keepNext w:val="0"/>
        <w:keepLines w:val="0"/>
        <w:shd w:val="clear" w:color="auto" w:fill="FFFFFF"/>
        <w:spacing w:before="240" w:after="40" w:line="250" w:lineRule="auto"/>
        <w:ind w:hanging="2"/>
        <w:rPr>
          <w:b/>
          <w:color w:val="000000"/>
          <w:sz w:val="22"/>
          <w:szCs w:val="22"/>
        </w:rPr>
      </w:pPr>
      <w:bookmarkStart w:id="5" w:name="_9rn9atyzc5pa" w:colFirst="0" w:colLast="0"/>
      <w:bookmarkEnd w:id="5"/>
      <w:r>
        <w:rPr>
          <w:b/>
          <w:color w:val="000000"/>
          <w:sz w:val="22"/>
          <w:szCs w:val="22"/>
        </w:rPr>
        <w:t>Ansprechpartnerin für Presse</w:t>
      </w:r>
    </w:p>
    <w:p w:rsidR="001B54C3" w:rsidRDefault="00F11CAB">
      <w:pPr>
        <w:shd w:val="clear" w:color="auto" w:fill="FFFFFF"/>
        <w:spacing w:before="240" w:after="240" w:line="250" w:lineRule="auto"/>
        <w:rPr>
          <w:color w:val="1155CC"/>
          <w:sz w:val="20"/>
          <w:szCs w:val="20"/>
        </w:rPr>
      </w:pPr>
      <w:r>
        <w:rPr>
          <w:sz w:val="20"/>
          <w:szCs w:val="20"/>
        </w:rPr>
        <w:t>Koenig &amp; Bauer AG</w:t>
      </w:r>
      <w:r>
        <w:rPr>
          <w:sz w:val="20"/>
          <w:szCs w:val="20"/>
        </w:rPr>
        <w:br/>
        <w:t>Dagmar Ringel</w:t>
      </w:r>
      <w:r>
        <w:rPr>
          <w:sz w:val="20"/>
          <w:szCs w:val="20"/>
        </w:rPr>
        <w:br/>
        <w:t>+49 931 909 6756</w:t>
      </w:r>
      <w:r>
        <w:rPr>
          <w:sz w:val="20"/>
          <w:szCs w:val="20"/>
        </w:rPr>
        <w:br/>
      </w:r>
      <w:hyperlink r:id="rId6">
        <w:r>
          <w:rPr>
            <w:color w:val="1155CC"/>
            <w:sz w:val="20"/>
            <w:szCs w:val="20"/>
            <w:u w:val="single"/>
          </w:rPr>
          <w:t>dagmar.ringel@koenig-bauer.com</w:t>
        </w:r>
      </w:hyperlink>
    </w:p>
    <w:p w:rsidR="001B54C3" w:rsidRDefault="001B54C3">
      <w:pPr>
        <w:pStyle w:val="berschrift4"/>
        <w:keepNext w:val="0"/>
        <w:keepLines w:val="0"/>
        <w:shd w:val="clear" w:color="auto" w:fill="FFFFFF"/>
        <w:spacing w:before="240" w:after="40" w:line="250" w:lineRule="auto"/>
        <w:ind w:hanging="2"/>
        <w:rPr>
          <w:b/>
          <w:color w:val="000000"/>
          <w:sz w:val="22"/>
          <w:szCs w:val="22"/>
        </w:rPr>
      </w:pPr>
      <w:bookmarkStart w:id="6" w:name="_khtu7lb2yfhb" w:colFirst="0" w:colLast="0"/>
      <w:bookmarkEnd w:id="6"/>
    </w:p>
    <w:p w:rsidR="001B54C3" w:rsidRDefault="00F11CAB">
      <w:pPr>
        <w:pStyle w:val="berschrift4"/>
        <w:keepNext w:val="0"/>
        <w:keepLines w:val="0"/>
        <w:shd w:val="clear" w:color="auto" w:fill="FFFFFF"/>
        <w:spacing w:before="240" w:after="40" w:line="250" w:lineRule="auto"/>
        <w:ind w:hanging="2"/>
        <w:rPr>
          <w:b/>
          <w:color w:val="000000"/>
          <w:sz w:val="22"/>
          <w:szCs w:val="22"/>
        </w:rPr>
      </w:pPr>
      <w:bookmarkStart w:id="7" w:name="_upsj98no4iwk" w:colFirst="0" w:colLast="0"/>
      <w:bookmarkEnd w:id="7"/>
      <w:r>
        <w:rPr>
          <w:b/>
          <w:color w:val="000000"/>
          <w:sz w:val="22"/>
          <w:szCs w:val="22"/>
        </w:rPr>
        <w:t>Ansprechpartnerin für M&amp;A</w:t>
      </w:r>
    </w:p>
    <w:p w:rsidR="001B54C3" w:rsidRDefault="00F11CAB">
      <w:pPr>
        <w:shd w:val="clear" w:color="auto" w:fill="FFFFFF"/>
        <w:spacing w:before="240" w:after="240" w:line="250" w:lineRule="auto"/>
        <w:rPr>
          <w:color w:val="1155CC"/>
          <w:sz w:val="20"/>
          <w:szCs w:val="20"/>
        </w:rPr>
      </w:pPr>
      <w:r>
        <w:rPr>
          <w:sz w:val="20"/>
          <w:szCs w:val="20"/>
        </w:rPr>
        <w:t>Koenig &amp; Bauer AG</w:t>
      </w:r>
      <w:r>
        <w:rPr>
          <w:sz w:val="20"/>
          <w:szCs w:val="20"/>
        </w:rPr>
        <w:br/>
        <w:t>Lisa Knoops</w:t>
      </w:r>
      <w:r>
        <w:rPr>
          <w:sz w:val="20"/>
          <w:szCs w:val="20"/>
        </w:rPr>
        <w:br/>
        <w:t>+49 931 909 6292</w:t>
      </w:r>
      <w:r>
        <w:rPr>
          <w:sz w:val="20"/>
          <w:szCs w:val="20"/>
        </w:rPr>
        <w:br/>
      </w:r>
      <w:r>
        <w:rPr>
          <w:color w:val="1155CC"/>
          <w:sz w:val="20"/>
          <w:szCs w:val="20"/>
        </w:rPr>
        <w:t>lisa.knoops@koenig-bauer.com</w:t>
      </w:r>
    </w:p>
    <w:p w:rsidR="001B54C3" w:rsidRDefault="00F11CAB" w:rsidP="00944AAE">
      <w:pPr>
        <w:shd w:val="clear" w:color="auto" w:fill="FFFFFF"/>
        <w:spacing w:before="240" w:after="240" w:line="250" w:lineRule="auto"/>
        <w:rPr>
          <w:sz w:val="20"/>
          <w:szCs w:val="20"/>
        </w:rPr>
      </w:pPr>
      <w:bookmarkStart w:id="8" w:name="_GoBack"/>
      <w:bookmarkEnd w:id="8"/>
      <w:r>
        <w:rPr>
          <w:b/>
          <w:sz w:val="20"/>
          <w:szCs w:val="20"/>
        </w:rPr>
        <w:lastRenderedPageBreak/>
        <w:t>Über Koenig &amp; Bauer</w:t>
      </w:r>
      <w:r>
        <w:rPr>
          <w:b/>
          <w:sz w:val="20"/>
          <w:szCs w:val="20"/>
        </w:rPr>
        <w:br/>
      </w:r>
      <w:r>
        <w:rPr>
          <w:sz w:val="20"/>
          <w:szCs w:val="20"/>
        </w:rPr>
        <w:t>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weltweites Vertriebs- und Servicenetzwerk. Der Konzernumsatz im Geschäftsjahr 2024 lag bei rund 1,3 Milliarden Euro.</w:t>
      </w:r>
    </w:p>
    <w:p w:rsidR="001B54C3" w:rsidRDefault="00F11CAB">
      <w:pPr>
        <w:shd w:val="clear" w:color="auto" w:fill="FFFFFF"/>
        <w:spacing w:before="240" w:after="240" w:line="249" w:lineRule="auto"/>
        <w:rPr>
          <w:color w:val="1155CC"/>
          <w:sz w:val="20"/>
          <w:szCs w:val="20"/>
          <w:u w:val="single"/>
        </w:rPr>
      </w:pPr>
      <w:r>
        <w:rPr>
          <w:sz w:val="20"/>
          <w:szCs w:val="20"/>
        </w:rPr>
        <w:t>Weitere Informationen unter</w:t>
      </w:r>
      <w:hyperlink r:id="rId7">
        <w:r>
          <w:rPr>
            <w:sz w:val="20"/>
            <w:szCs w:val="20"/>
          </w:rPr>
          <w:t xml:space="preserve"> </w:t>
        </w:r>
      </w:hyperlink>
      <w:hyperlink r:id="rId8">
        <w:r>
          <w:rPr>
            <w:color w:val="1155CC"/>
            <w:sz w:val="20"/>
            <w:szCs w:val="20"/>
            <w:u w:val="single"/>
          </w:rPr>
          <w:t>www.koenig-bauer.com</w:t>
        </w:r>
      </w:hyperlink>
    </w:p>
    <w:p w:rsidR="001B54C3" w:rsidRDefault="001B54C3">
      <w:pPr>
        <w:shd w:val="clear" w:color="auto" w:fill="FFFFFF"/>
        <w:spacing w:after="240" w:line="250" w:lineRule="auto"/>
        <w:ind w:hanging="2"/>
        <w:rPr>
          <w:sz w:val="20"/>
          <w:szCs w:val="20"/>
        </w:rPr>
      </w:pPr>
    </w:p>
    <w:sectPr w:rsidR="001B54C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E1BDB"/>
    <w:multiLevelType w:val="multilevel"/>
    <w:tmpl w:val="D11E244E"/>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C3"/>
    <w:rsid w:val="001B54C3"/>
    <w:rsid w:val="007D6474"/>
    <w:rsid w:val="00944AAE"/>
    <w:rsid w:val="00F11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6783"/>
  <w15:docId w15:val="{7CFF86E9-9D02-47A2-BE28-F2397556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3" Type="http://schemas.openxmlformats.org/officeDocument/2006/relationships/settings" Target="settings.xml"/><Relationship Id="rId7" Type="http://schemas.openxmlformats.org/officeDocument/2006/relationships/hyperlink" Target="http://www.koenig-bau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a.landenberger@koenig-bauer.com" TargetMode="External"/><Relationship Id="rId5" Type="http://schemas.openxmlformats.org/officeDocument/2006/relationships/hyperlink" Target="mailto:lena.landenberger@koenig-bau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7869</Characters>
  <Application>Microsoft Office Word</Application>
  <DocSecurity>0</DocSecurity>
  <Lines>65</Lines>
  <Paragraphs>18</Paragraphs>
  <ScaleCrop>false</ScaleCrop>
  <Company>KOENIG &amp; BAUER AG</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Rügamer, René (ZFI)</cp:lastModifiedBy>
  <cp:revision>4</cp:revision>
  <dcterms:created xsi:type="dcterms:W3CDTF">2025-07-29T12:47:00Z</dcterms:created>
  <dcterms:modified xsi:type="dcterms:W3CDTF">2025-07-29T12:54:00Z</dcterms:modified>
</cp:coreProperties>
</file>